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Information Security Policy</w:t>
      </w:r>
    </w:p>
    <w:p>
      <w:pPr>
        <w:pStyle w:val="Subtitle"/>
      </w:pPr>
      <w:r>
        <w:rPr>
          <w:highlight w:val="yellow"/>
        </w:rPr>
        <w:t xml:space="preserve">[Company]</w:t>
      </w:r>
      <w:r>
        <w:t xml:space="preserve"> · ISO/IEC 27001:2022 Annex A A.5.1</w:t>
      </w:r>
    </w:p>
    <w:p>
      <w:pPr>
        <w:pStyle w:val="Note"/>
      </w:pPr>
      <w:r>
        <w:t xml:space="preserve">How to use this template: replace the yellow </w:t>
      </w:r>
      <w:r>
        <w:rPr>
          <w:highlight w:val="yellow"/>
        </w:rPr>
        <w:t xml:space="preserve">[fields]</w:t>
      </w:r>
      <w:r>
        <w:t xml:space="preserve">, delete what does not apply to you, have the document approved, and store it where staff can find it. In Z9 Monitor, open Compliance, press Confirm on the control and note where the approved document is kept.</w:t>
      </w:r>
    </w:p>
    <w:tbl>
      <w:tblPr>
        <w:tblStyle w:val="Grid"/>
        <w:tblW w:w="9638" w:type="dxa"/>
        <w:tblLayout w:type="fixed"/>
      </w:tblPr>
      <w:tblGrid>
        <w:gridCol w:w="1606"/>
        <w:gridCol w:w="1606"/>
        <w:gridCol w:w="1606"/>
        <w:gridCol w:w="1606"/>
        <w:gridCol w:w="1606"/>
        <w:gridCol w:w="1606"/>
      </w:tblGrid>
      <w:tr>
        <w:trPr>
          <w:tblHeader/>
        </w:trPr>
        <w:tc>
          <w:tcPr>
            <w:tcW w:w="1606" w:type="dxa"/>
            <w:shd w:val="clear" w:color="auto" w:fill="E8EEFB"/>
          </w:tcPr>
          <w:p>
            <w:pPr>
              <w:pStyle w:val="TableText"/>
            </w:pPr>
            <w:r>
              <w:rPr>
                <w:b/>
              </w:rPr>
              <w:t xml:space="preserve">Document owner</w:t>
            </w:r>
          </w:p>
        </w:tc>
        <w:tc>
          <w:tcPr>
            <w:tcW w:w="1606" w:type="dxa"/>
            <w:shd w:val="clear" w:color="auto" w:fill="E8EEFB"/>
          </w:tcPr>
          <w:p>
            <w:pPr>
              <w:pStyle w:val="TableText"/>
            </w:pPr>
            <w:r>
              <w:rPr>
                <w:b/>
              </w:rPr>
              <w:t xml:space="preserve">Approved by</w:t>
            </w:r>
          </w:p>
        </w:tc>
        <w:tc>
          <w:tcPr>
            <w:tcW w:w="1606" w:type="dxa"/>
            <w:shd w:val="clear" w:color="auto" w:fill="E8EEFB"/>
          </w:tcPr>
          <w:p>
            <w:pPr>
              <w:pStyle w:val="TableText"/>
            </w:pPr>
            <w:r>
              <w:rPr>
                <w:b/>
              </w:rPr>
              <w:t xml:space="preserve">Version</w:t>
            </w:r>
          </w:p>
        </w:tc>
        <w:tc>
          <w:tcPr>
            <w:tcW w:w="1606" w:type="dxa"/>
            <w:shd w:val="clear" w:color="auto" w:fill="E8EEFB"/>
          </w:tcPr>
          <w:p>
            <w:pPr>
              <w:pStyle w:val="TableText"/>
            </w:pPr>
            <w:r>
              <w:rPr>
                <w:b/>
              </w:rPr>
              <w:t xml:space="preserve">Effective date</w:t>
            </w:r>
          </w:p>
        </w:tc>
        <w:tc>
          <w:tcPr>
            <w:tcW w:w="1606" w:type="dxa"/>
            <w:shd w:val="clear" w:color="auto" w:fill="E8EEFB"/>
          </w:tcPr>
          <w:p>
            <w:pPr>
              <w:pStyle w:val="TableText"/>
            </w:pPr>
            <w:r>
              <w:rPr>
                <w:b/>
              </w:rPr>
              <w:t xml:space="preserve">Next review</w:t>
            </w:r>
          </w:p>
        </w:tc>
        <w:tc>
          <w:tcPr>
            <w:tcW w:w="1606" w:type="dxa"/>
            <w:shd w:val="clear" w:color="auto" w:fill="E8EEFB"/>
          </w:tcPr>
          <w:p>
            <w:pPr>
              <w:pStyle w:val="TableText"/>
            </w:pPr>
            <w:r>
              <w:rPr>
                <w:b/>
              </w:rPr>
              <w:t xml:space="preserve">Classification</w:t>
            </w:r>
          </w:p>
        </w:tc>
      </w:tr>
      <w:tr>
        <w:trPr>
          <w:cantSplit/>
        </w:trPr>
        <w:tc>
          <w:tcPr>
            <w:tcW w:w="1606" w:type="dxa"/>
          </w:tcPr>
          <w:p>
            <w:pPr>
              <w:pStyle w:val="TableText"/>
            </w:pPr>
            <w:r>
              <w:rPr>
                <w:highlight w:val="yellow"/>
              </w:rPr>
              <w:t xml:space="preserve">[Name, role]</w:t>
            </w:r>
          </w:p>
        </w:tc>
        <w:tc>
          <w:tcPr>
            <w:tcW w:w="1606" w:type="dxa"/>
          </w:tcPr>
          <w:p>
            <w:pPr>
              <w:pStyle w:val="TableText"/>
            </w:pPr>
            <w:r>
              <w:rPr>
                <w:highlight w:val="yellow"/>
              </w:rPr>
              <w:t xml:space="preserve">[Name, role]</w:t>
            </w:r>
          </w:p>
        </w:tc>
        <w:tc>
          <w:tcPr>
            <w:tcW w:w="1606" w:type="dxa"/>
          </w:tcPr>
          <w:p>
            <w:pPr>
              <w:pStyle w:val="TableText"/>
            </w:pPr>
            <w:r>
              <w:t xml:space="preserve">1.0</w:t>
            </w:r>
          </w:p>
        </w:tc>
        <w:tc>
          <w:tcPr>
            <w:tcW w:w="1606" w:type="dxa"/>
          </w:tcPr>
          <w:p>
            <w:pPr>
              <w:pStyle w:val="TableText"/>
            </w:pPr>
            <w:r>
              <w:rPr>
                <w:highlight w:val="yellow"/>
              </w:rPr>
              <w:t xml:space="preserve">[YYYY-MM-DD]</w:t>
            </w:r>
          </w:p>
        </w:tc>
        <w:tc>
          <w:tcPr>
            <w:tcW w:w="1606" w:type="dxa"/>
          </w:tcPr>
          <w:p>
            <w:pPr>
              <w:pStyle w:val="TableText"/>
            </w:pPr>
            <w:r>
              <w:rPr>
                <w:highlight w:val="yellow"/>
              </w:rPr>
              <w:t xml:space="preserve">[YYYY-MM-DD]</w:t>
            </w:r>
          </w:p>
        </w:tc>
        <w:tc>
          <w:tcPr>
            <w:tcW w:w="1606" w:type="dxa"/>
          </w:tcPr>
          <w:p>
            <w:pPr>
              <w:pStyle w:val="TableText"/>
            </w:pPr>
            <w:r>
              <w:t xml:space="preserve">Internal</w:t>
            </w:r>
          </w:p>
        </w:tc>
      </w:tr>
    </w:tbl>
    <w:p/>
    <w:p>
      <w:pPr>
        <w:pStyle w:val="Heading1"/>
      </w:pPr>
      <w:r>
        <w:t xml:space="preserve">1. Purpose</w:t>
      </w:r>
    </w:p>
    <w:p>
      <w:r>
        <w:t xml:space="preserve">This policy states how </w:t>
      </w:r>
      <w:r>
        <w:rPr>
          <w:highlight w:val="yellow"/>
        </w:rPr>
        <w:t xml:space="preserve">[Company]</w:t>
      </w:r>
      <w:r>
        <w:t xml:space="preserve"> protects the confidentiality, integrity and availability of its information and IT systems, and commits management to an information security management system (ISMS) that meets the requirements of ISO/IEC 27001.</w:t>
      </w:r>
    </w:p>
    <w:p>
      <w:pPr>
        <w:pStyle w:val="Heading1"/>
      </w:pPr>
      <w:r>
        <w:t xml:space="preserve">2. Scope</w:t>
      </w:r>
    </w:p>
    <w:p>
      <w:r>
        <w:t xml:space="preserve">All information, IT systems, premises and people of </w:t>
      </w:r>
      <w:r>
        <w:rPr>
          <w:highlight w:val="yellow"/>
        </w:rPr>
        <w:t xml:space="preserve">[Company]</w:t>
      </w:r>
      <w:r>
        <w:t xml:space="preserve"> – employees, contractors and suppliers who have access – at </w:t>
      </w:r>
      <w:r>
        <w:rPr>
          <w:highlight w:val="yellow"/>
        </w:rPr>
        <w:t xml:space="preserve">[locations]</w:t>
      </w:r>
      <w:r>
        <w:t xml:space="preserve">. Exclusions: </w:t>
      </w:r>
      <w:r>
        <w:rPr>
          <w:highlight w:val="yellow"/>
        </w:rPr>
        <w:t xml:space="preserve">[none / describe and justify]</w:t>
      </w:r>
      <w:r>
        <w:t xml:space="preserve">.</w:t>
      </w:r>
    </w:p>
    <w:p>
      <w:pPr>
        <w:pStyle w:val="Heading1"/>
      </w:pPr>
      <w:r>
        <w:t xml:space="preserve">3. Information security objectives</w:t>
      </w:r>
    </w:p>
    <w:p>
      <w:pPr>
        <w:pStyle w:val="ListParagraph"/>
        <w:numPr>
          <w:ilvl w:val="0"/>
          <w:numId w:val="1"/>
        </w:numPr>
      </w:pPr>
      <w:r>
        <w:t xml:space="preserve">Protect customer and company information against unauthorised access, change and loss.</w:t>
      </w:r>
    </w:p>
    <w:p>
      <w:pPr>
        <w:pStyle w:val="ListParagraph"/>
        <w:numPr>
          <w:ilvl w:val="0"/>
          <w:numId w:val="1"/>
        </w:numPr>
      </w:pPr>
      <w:r>
        <w:t xml:space="preserve">Keep critical IT services available: target </w:t>
      </w:r>
      <w:r>
        <w:rPr>
          <w:highlight w:val="yellow"/>
        </w:rPr>
        <w:t xml:space="preserve">[99.5]</w:t>
      </w:r>
      <w:r>
        <w:t xml:space="preserve">% availability for </w:t>
      </w:r>
      <w:r>
        <w:rPr>
          <w:highlight w:val="yellow"/>
        </w:rPr>
        <w:t xml:space="preserve">[systems]</w:t>
      </w:r>
      <w:r>
        <w:t xml:space="preserve">, measured monthly.</w:t>
      </w:r>
    </w:p>
    <w:p>
      <w:pPr>
        <w:pStyle w:val="ListParagraph"/>
        <w:numPr>
          <w:ilvl w:val="0"/>
          <w:numId w:val="1"/>
        </w:numPr>
      </w:pPr>
      <w:r>
        <w:t xml:space="preserve">Detect, report and respond to security incidents; serious incidents are contained within </w:t>
      </w:r>
      <w:r>
        <w:rPr>
          <w:highlight w:val="yellow"/>
        </w:rPr>
        <w:t xml:space="preserve">[4]</w:t>
      </w:r>
      <w:r>
        <w:t xml:space="preserve"> hours.</w:t>
      </w:r>
    </w:p>
    <w:p>
      <w:pPr>
        <w:pStyle w:val="ListParagraph"/>
        <w:numPr>
          <w:ilvl w:val="0"/>
          <w:numId w:val="1"/>
        </w:numPr>
      </w:pPr>
      <w:r>
        <w:t xml:space="preserve">Meet legal, regulatory and contractual requirements.</w:t>
      </w:r>
    </w:p>
    <w:p>
      <w:pPr>
        <w:pStyle w:val="ListParagraph"/>
        <w:numPr>
          <w:ilvl w:val="0"/>
          <w:numId w:val="1"/>
        </w:numPr>
      </w:pPr>
      <w:r>
        <w:t xml:space="preserve">Improve continually: objectives are measured and reviewed at least once a year in the management review.</w:t>
      </w:r>
    </w:p>
    <w:p>
      <w:pPr>
        <w:pStyle w:val="Heading1"/>
      </w:pPr>
      <w:r>
        <w:t xml:space="preserve">4. Principles</w:t>
      </w:r>
    </w:p>
    <w:p>
      <w:pPr>
        <w:pStyle w:val="ListParagraph"/>
        <w:numPr>
          <w:ilvl w:val="0"/>
          <w:numId w:val="1"/>
        </w:numPr>
      </w:pPr>
      <w:r>
        <w:t xml:space="preserve">Information is classified as </w:t>
      </w:r>
      <w:r>
        <w:rPr>
          <w:highlight w:val="yellow"/>
        </w:rPr>
        <w:t xml:space="preserve">[Public / Internal / Confidential / Restricted]</w:t>
      </w:r>
      <w:r>
        <w:t xml:space="preserve"> and handled according to its class.</w:t>
      </w:r>
    </w:p>
    <w:p>
      <w:pPr>
        <w:pStyle w:val="ListParagraph"/>
        <w:numPr>
          <w:ilvl w:val="0"/>
          <w:numId w:val="1"/>
        </w:numPr>
      </w:pPr>
      <w:r>
        <w:t xml:space="preserve">Access is given on a need-to-know basis with the least privilege needed, and reviewed regularly.</w:t>
      </w:r>
    </w:p>
    <w:p>
      <w:pPr>
        <w:pStyle w:val="ListParagraph"/>
        <w:numPr>
          <w:ilvl w:val="0"/>
          <w:numId w:val="1"/>
        </w:numPr>
      </w:pPr>
      <w:r>
        <w:t xml:space="preserve">Information security risks are assessed at least once a year and after major changes; the treatment is recorded in the risk register and the Statement of Applicability.</w:t>
      </w:r>
    </w:p>
    <w:p>
      <w:pPr>
        <w:pStyle w:val="ListParagraph"/>
        <w:numPr>
          <w:ilvl w:val="0"/>
          <w:numId w:val="1"/>
        </w:numPr>
      </w:pPr>
      <w:r>
        <w:t xml:space="preserve">IT systems are kept supported, patched, protected against malware, backed up and monitored.</w:t>
      </w:r>
    </w:p>
    <w:p>
      <w:pPr>
        <w:pStyle w:val="ListParagraph"/>
        <w:numPr>
          <w:ilvl w:val="0"/>
          <w:numId w:val="1"/>
        </w:numPr>
      </w:pPr>
      <w:r>
        <w:t xml:space="preserve">Suppliers and cloud services that handle our information meet agreed security requirements.</w:t>
      </w:r>
    </w:p>
    <w:p>
      <w:pPr>
        <w:pStyle w:val="ListParagraph"/>
        <w:numPr>
          <w:ilvl w:val="0"/>
          <w:numId w:val="1"/>
        </w:numPr>
      </w:pPr>
      <w:r>
        <w:t xml:space="preserve">Everyone completes security awareness training when they join and every year.</w:t>
      </w:r>
    </w:p>
    <w:p>
      <w:pPr>
        <w:pStyle w:val="ListParagraph"/>
        <w:numPr>
          <w:ilvl w:val="0"/>
          <w:numId w:val="1"/>
        </w:numPr>
      </w:pPr>
      <w:r>
        <w:t xml:space="preserve">Security incidents and weaknesses are reported at once to </w:t>
      </w:r>
      <w:r>
        <w:rPr>
          <w:highlight w:val="yellow"/>
        </w:rPr>
        <w:t xml:space="preserve">[IT contact, e-mail, phone]</w:t>
      </w:r>
      <w:r>
        <w:t xml:space="preserve">.</w:t>
      </w:r>
    </w:p>
    <w:p>
      <w:pPr>
        <w:pStyle w:val="Heading1"/>
      </w:pPr>
      <w:r>
        <w:t xml:space="preserve">5. Roles and responsibilities</w:t>
      </w:r>
    </w:p>
    <w:tbl>
      <w:tblPr>
        <w:tblStyle w:val="Grid"/>
        <w:tblW w:w="9638" w:type="dxa"/>
        <w:tblLayout w:type="fixed"/>
      </w:tblPr>
      <w:tblGrid>
        <w:gridCol w:w="4819"/>
        <w:gridCol w:w="4819"/>
      </w:tblGrid>
      <w:tr>
        <w:trPr>
          <w:tblHeader/>
        </w:trPr>
        <w:tc>
          <w:tcPr>
            <w:tcW w:w="4819" w:type="dxa"/>
            <w:shd w:val="clear" w:color="auto" w:fill="E8EEFB"/>
          </w:tcPr>
          <w:p>
            <w:pPr>
              <w:pStyle w:val="TableText"/>
            </w:pPr>
            <w:r>
              <w:rPr>
                <w:b/>
              </w:rPr>
              <w:t xml:space="preserve">Role</w:t>
            </w:r>
          </w:p>
        </w:tc>
        <w:tc>
          <w:tcPr>
            <w:tcW w:w="4819" w:type="dxa"/>
            <w:shd w:val="clear" w:color="auto" w:fill="E8EEFB"/>
          </w:tcPr>
          <w:p>
            <w:pPr>
              <w:pStyle w:val="TableText"/>
            </w:pPr>
            <w:r>
              <w:rPr>
                <w:b/>
              </w:rPr>
              <w:t xml:space="preserve">Responsibilities</w:t>
            </w:r>
          </w:p>
        </w:tc>
      </w:tr>
      <w:tr>
        <w:trPr>
          <w:cantSplit/>
        </w:trPr>
        <w:tc>
          <w:tcPr>
            <w:tcW w:w="4819" w:type="dxa"/>
          </w:tcPr>
          <w:p>
            <w:pPr>
              <w:pStyle w:val="TableText"/>
            </w:pPr>
            <w:r>
              <w:t xml:space="preserve">Top management</w:t>
            </w:r>
          </w:p>
        </w:tc>
        <w:tc>
          <w:tcPr>
            <w:tcW w:w="4819" w:type="dxa"/>
          </w:tcPr>
          <w:p>
            <w:pPr>
              <w:pStyle w:val="TableText"/>
            </w:pPr>
            <w:r>
              <w:t xml:space="preserve">Approves this policy and the objectives, provides resources, chairs the yearly management review.</w:t>
            </w:r>
          </w:p>
        </w:tc>
      </w:tr>
      <w:tr>
        <w:trPr>
          <w:cantSplit/>
        </w:trPr>
        <w:tc>
          <w:tcPr>
            <w:tcW w:w="4819" w:type="dxa"/>
          </w:tcPr>
          <w:p>
            <w:pPr>
              <w:pStyle w:val="TableText"/>
            </w:pPr>
            <w:r>
              <w:t xml:space="preserve">Information Security Officer – </w:t>
            </w:r>
            <w:r>
              <w:rPr>
                <w:highlight w:val="yellow"/>
              </w:rPr>
              <w:t xml:space="preserve">[Name]</w:t>
            </w:r>
          </w:p>
        </w:tc>
        <w:tc>
          <w:tcPr>
            <w:tcW w:w="4819" w:type="dxa"/>
          </w:tcPr>
          <w:p>
            <w:pPr>
              <w:pStyle w:val="TableText"/>
            </w:pPr>
            <w:r>
              <w:t xml:space="preserve">Runs the ISMS, keeps policies current, reports on security performance and incidents.</w:t>
            </w:r>
          </w:p>
        </w:tc>
      </w:tr>
      <w:tr>
        <w:trPr>
          <w:cantSplit/>
        </w:trPr>
        <w:tc>
          <w:tcPr>
            <w:tcW w:w="4819" w:type="dxa"/>
          </w:tcPr>
          <w:p>
            <w:pPr>
              <w:pStyle w:val="TableText"/>
            </w:pPr>
            <w:r>
              <w:t xml:space="preserve">IT team</w:t>
            </w:r>
          </w:p>
        </w:tc>
        <w:tc>
          <w:tcPr>
            <w:tcW w:w="4819" w:type="dxa"/>
          </w:tcPr>
          <w:p>
            <w:pPr>
              <w:pStyle w:val="TableText"/>
            </w:pPr>
            <w:r>
              <w:t xml:space="preserve">Operates the technical controls: access, backups, patching, malware protection, monitoring.</w:t>
            </w:r>
          </w:p>
        </w:tc>
      </w:tr>
      <w:tr>
        <w:trPr>
          <w:cantSplit/>
        </w:trPr>
        <w:tc>
          <w:tcPr>
            <w:tcW w:w="4819" w:type="dxa"/>
          </w:tcPr>
          <w:p>
            <w:pPr>
              <w:pStyle w:val="TableText"/>
            </w:pPr>
            <w:r>
              <w:t xml:space="preserve">Managers</w:t>
            </w:r>
          </w:p>
        </w:tc>
        <w:tc>
          <w:tcPr>
            <w:tcW w:w="4819" w:type="dxa"/>
          </w:tcPr>
          <w:p>
            <w:pPr>
              <w:pStyle w:val="TableText"/>
            </w:pPr>
            <w:r>
              <w:t xml:space="preserve">Make sure their staff know and follow the policies; approve access for their staff.</w:t>
            </w:r>
          </w:p>
        </w:tc>
      </w:tr>
      <w:tr>
        <w:trPr>
          <w:cantSplit/>
        </w:trPr>
        <w:tc>
          <w:tcPr>
            <w:tcW w:w="4819" w:type="dxa"/>
          </w:tcPr>
          <w:p>
            <w:pPr>
              <w:pStyle w:val="TableText"/>
            </w:pPr>
            <w:r>
              <w:t xml:space="preserve">All staff and contractors</w:t>
            </w:r>
          </w:p>
        </w:tc>
        <w:tc>
          <w:tcPr>
            <w:tcW w:w="4819" w:type="dxa"/>
          </w:tcPr>
          <w:p>
            <w:pPr>
              <w:pStyle w:val="TableText"/>
            </w:pPr>
            <w:r>
              <w:t xml:space="preserve">Follow the policies, protect the information they handle and report incidents.</w:t>
            </w:r>
          </w:p>
        </w:tc>
      </w:tr>
    </w:tbl>
    <w:p/>
    <w:p>
      <w:pPr>
        <w:pStyle w:val="Heading1"/>
      </w:pPr>
      <w:r>
        <w:t xml:space="preserve">6. Supporting policies and procedures</w:t>
      </w:r>
    </w:p>
    <w:p>
      <w:pPr>
        <w:pStyle w:val="ListParagraph"/>
        <w:numPr>
          <w:ilvl w:val="0"/>
          <w:numId w:val="1"/>
        </w:numPr>
      </w:pPr>
      <w:r>
        <w:t xml:space="preserve">Acceptable Use Policy</w:t>
      </w:r>
    </w:p>
    <w:p>
      <w:pPr>
        <w:pStyle w:val="ListParagraph"/>
        <w:numPr>
          <w:ilvl w:val="0"/>
          <w:numId w:val="1"/>
        </w:numPr>
      </w:pPr>
      <w:r>
        <w:t xml:space="preserve">Access Control Policy and Joiners, Movers and Leavers Procedure</w:t>
      </w:r>
    </w:p>
    <w:p>
      <w:pPr>
        <w:pStyle w:val="ListParagraph"/>
        <w:numPr>
          <w:ilvl w:val="0"/>
          <w:numId w:val="1"/>
        </w:numPr>
      </w:pPr>
      <w:r>
        <w:t xml:space="preserve">Password and Authentication Standard</w:t>
      </w:r>
    </w:p>
    <w:p>
      <w:pPr>
        <w:pStyle w:val="ListParagraph"/>
        <w:numPr>
          <w:ilvl w:val="0"/>
          <w:numId w:val="1"/>
        </w:numPr>
      </w:pPr>
      <w:r>
        <w:t xml:space="preserve">Backup and Restore Policy; IT Continuity and Disaster Recovery Plan</w:t>
      </w:r>
    </w:p>
    <w:p>
      <w:pPr>
        <w:pStyle w:val="ListParagraph"/>
        <w:numPr>
          <w:ilvl w:val="0"/>
          <w:numId w:val="1"/>
        </w:numPr>
      </w:pPr>
      <w:r>
        <w:t xml:space="preserve">Incident Response Procedure</w:t>
      </w:r>
    </w:p>
    <w:p>
      <w:pPr>
        <w:pStyle w:val="ListParagraph"/>
        <w:numPr>
          <w:ilvl w:val="0"/>
          <w:numId w:val="1"/>
        </w:numPr>
      </w:pPr>
      <w:r>
        <w:t xml:space="preserve">Patch and Vulnerability Management Procedure</w:t>
      </w:r>
    </w:p>
    <w:p>
      <w:pPr>
        <w:pStyle w:val="ListParagraph"/>
        <w:numPr>
          <w:ilvl w:val="0"/>
          <w:numId w:val="1"/>
        </w:numPr>
      </w:pPr>
      <w:r>
        <w:t xml:space="preserve">Change Management Procedure</w:t>
      </w:r>
    </w:p>
    <w:p>
      <w:pPr>
        <w:pStyle w:val="ListParagraph"/>
        <w:numPr>
          <w:ilvl w:val="0"/>
          <w:numId w:val="1"/>
        </w:numPr>
      </w:pPr>
      <w:r>
        <w:rPr>
          <w:highlight w:val="yellow"/>
        </w:rPr>
        <w:t xml:space="preserve">[others]</w:t>
      </w:r>
    </w:p>
    <w:p>
      <w:pPr>
        <w:pStyle w:val="Heading1"/>
      </w:pPr>
      <w:r>
        <w:t xml:space="preserve">7. Compliance and exceptions</w:t>
      </w:r>
    </w:p>
    <w:p>
      <w:r>
        <w:t xml:space="preserve">Breaches of this policy can lead to disciplinary action. Exceptions are approved in writing by </w:t>
      </w:r>
      <w:r>
        <w:rPr>
          <w:highlight w:val="yellow"/>
        </w:rPr>
        <w:t xml:space="preserve">[the Information Security Officer]</w:t>
      </w:r>
      <w:r>
        <w:t xml:space="preserve">, with the risk assessed and an end date set.</w:t>
      </w:r>
    </w:p>
    <w:p>
      <w:pPr>
        <w:pStyle w:val="Heading1"/>
      </w:pPr>
      <w:r>
        <w:t xml:space="preserve">8. Review</w:t>
      </w:r>
    </w:p>
    <w:p>
      <w:r>
        <w:t xml:space="preserve">This policy is reviewed at least once a year and after significant changes, and approved again by top management.</w:t>
      </w:r>
    </w:p>
    <w:tbl>
      <w:tblPr>
        <w:tblStyle w:val="Grid"/>
        <w:tblW w:w="9638" w:type="dxa"/>
        <w:tblLayout w:type="fixed"/>
      </w:tblPr>
      <w:tblGrid>
        <w:gridCol w:w="3212"/>
        <w:gridCol w:w="3212"/>
        <w:gridCol w:w="3212"/>
      </w:tblGrid>
      <w:tr>
        <w:trPr>
          <w:tblHeader/>
        </w:trPr>
        <w:tc>
          <w:tcPr>
            <w:tcW w:w="3212" w:type="dxa"/>
            <w:shd w:val="clear" w:color="auto" w:fill="E8EEFB"/>
          </w:tcPr>
          <w:p>
            <w:pPr>
              <w:pStyle w:val="TableText"/>
            </w:pPr>
            <w:r>
              <w:rPr>
                <w:b/>
              </w:rPr>
              <w:t xml:space="preserve">Approved by (name, title)</w:t>
            </w:r>
          </w:p>
        </w:tc>
        <w:tc>
          <w:tcPr>
            <w:tcW w:w="3212" w:type="dxa"/>
            <w:shd w:val="clear" w:color="auto" w:fill="E8EEFB"/>
          </w:tcPr>
          <w:p>
            <w:pPr>
              <w:pStyle w:val="TableText"/>
            </w:pPr>
            <w:r>
              <w:rPr>
                <w:b/>
              </w:rPr>
              <w:t xml:space="preserve">Signature</w:t>
            </w:r>
          </w:p>
        </w:tc>
        <w:tc>
          <w:tcPr>
            <w:tcW w:w="3212" w:type="dxa"/>
            <w:shd w:val="clear" w:color="auto" w:fill="E8EEFB"/>
          </w:tcPr>
          <w:p>
            <w:pPr>
              <w:pStyle w:val="TableText"/>
            </w:pPr>
            <w:r>
              <w:rPr>
                <w:b/>
              </w:rPr>
              <w:t xml:space="preserve">Date</w:t>
            </w:r>
          </w:p>
        </w:tc>
      </w:tr>
      <w:tr>
        <w:trPr>
          <w:cantSplit/>
        </w:trPr>
        <w:tc>
          <w:tcPr>
            <w:tcW w:w="3212" w:type="dxa"/>
          </w:tcPr>
          <w:p>
            <w:pPr>
              <w:pStyle w:val="TableText"/>
            </w:pPr>
            <w:r>
              <w:rPr>
                <w:highlight w:val="yellow"/>
              </w:rPr>
              <w:t xml:space="preserve">[Name, title]</w:t>
            </w:r>
          </w:p>
        </w:tc>
        <w:tc>
          <w:tcPr>
            <w:tcW w:w="3212" w:type="dxa"/>
          </w:tcPr>
          <w:p>
            <w:pPr>
              <w:pStyle w:val="TableText"/>
            </w:pPr>
          </w:p>
        </w:tc>
        <w:tc>
          <w:tcPr>
            <w:tcW w:w="3212" w:type="dxa"/>
          </w:tcPr>
          <w:p>
            <w:pPr>
              <w:pStyle w:val="TableText"/>
            </w:pPr>
          </w:p>
        </w:tc>
      </w:tr>
    </w:tbl>
    <w:p/>
    <w:p>
      <w:pPr>
        <w:pStyle w:val="Heading1"/>
      </w:pPr>
      <w:r>
        <w:t xml:space="preserve">Revision history</w:t>
      </w:r>
    </w:p>
    <w:tbl>
      <w:tblPr>
        <w:tblStyle w:val="Grid"/>
        <w:tblW w:w="9638" w:type="dxa"/>
        <w:tblLayout w:type="fixed"/>
      </w:tblPr>
      <w:tblGrid>
        <w:gridCol w:w="2409"/>
        <w:gridCol w:w="2409"/>
        <w:gridCol w:w="2409"/>
        <w:gridCol w:w="2409"/>
      </w:tblGrid>
      <w:tr>
        <w:trPr>
          <w:tblHeader/>
        </w:trPr>
        <w:tc>
          <w:tcPr>
            <w:tcW w:w="2409" w:type="dxa"/>
            <w:shd w:val="clear" w:color="auto" w:fill="E8EEFB"/>
          </w:tcPr>
          <w:p>
            <w:pPr>
              <w:pStyle w:val="TableText"/>
            </w:pPr>
            <w:r>
              <w:rPr>
                <w:b/>
              </w:rPr>
              <w:t xml:space="preserve">Version</w:t>
            </w:r>
          </w:p>
        </w:tc>
        <w:tc>
          <w:tcPr>
            <w:tcW w:w="2409" w:type="dxa"/>
            <w:shd w:val="clear" w:color="auto" w:fill="E8EEFB"/>
          </w:tcPr>
          <w:p>
            <w:pPr>
              <w:pStyle w:val="TableText"/>
            </w:pPr>
            <w:r>
              <w:rPr>
                <w:b/>
              </w:rPr>
              <w:t xml:space="preserve">Date</w:t>
            </w:r>
          </w:p>
        </w:tc>
        <w:tc>
          <w:tcPr>
            <w:tcW w:w="2409" w:type="dxa"/>
            <w:shd w:val="clear" w:color="auto" w:fill="E8EEFB"/>
          </w:tcPr>
          <w:p>
            <w:pPr>
              <w:pStyle w:val="TableText"/>
            </w:pPr>
            <w:r>
              <w:rPr>
                <w:b/>
              </w:rPr>
              <w:t xml:space="preserve">Author</w:t>
            </w:r>
          </w:p>
        </w:tc>
        <w:tc>
          <w:tcPr>
            <w:tcW w:w="2409" w:type="dxa"/>
            <w:shd w:val="clear" w:color="auto" w:fill="E8EEFB"/>
          </w:tcPr>
          <w:p>
            <w:pPr>
              <w:pStyle w:val="TableText"/>
            </w:pPr>
            <w:r>
              <w:rPr>
                <w:b/>
              </w:rPr>
              <w:t xml:space="preserve">Change</w:t>
            </w:r>
          </w:p>
        </w:tc>
      </w:tr>
      <w:tr>
        <w:trPr>
          <w:cantSplit/>
        </w:trPr>
        <w:tc>
          <w:tcPr>
            <w:tcW w:w="2409" w:type="dxa"/>
          </w:tcPr>
          <w:p>
            <w:pPr>
              <w:pStyle w:val="TableText"/>
            </w:pPr>
            <w:r>
              <w:t xml:space="preserve">1.0</w:t>
            </w:r>
          </w:p>
        </w:tc>
        <w:tc>
          <w:tcPr>
            <w:tcW w:w="2409" w:type="dxa"/>
          </w:tcPr>
          <w:p>
            <w:pPr>
              <w:pStyle w:val="TableText"/>
            </w:pPr>
            <w:r>
              <w:rPr>
                <w:highlight w:val="yellow"/>
              </w:rPr>
              <w:t xml:space="preserve">[YYYY-MM-DD]</w:t>
            </w:r>
          </w:p>
        </w:tc>
        <w:tc>
          <w:tcPr>
            <w:tcW w:w="2409" w:type="dxa"/>
          </w:tcPr>
          <w:p>
            <w:pPr>
              <w:pStyle w:val="TableText"/>
            </w:pPr>
            <w:r>
              <w:rPr>
                <w:highlight w:val="yellow"/>
              </w:rPr>
              <w:t xml:space="preserve">[Name]</w:t>
            </w:r>
          </w:p>
        </w:tc>
        <w:tc>
          <w:tcPr>
            <w:tcW w:w="2409" w:type="dxa"/>
          </w:tcPr>
          <w:p>
            <w:pPr>
              <w:pStyle w:val="TableText"/>
            </w:pPr>
            <w:r>
              <w:t xml:space="preserve">First version</w:t>
            </w:r>
          </w:p>
        </w:tc>
      </w:tr>
      <w:tr>
        <w:trPr>
          <w:cantSplit/>
        </w:trPr>
        <w:tc>
          <w:tcPr>
            <w:tcW w:w="2409" w:type="dxa"/>
          </w:tcPr>
          <w:p>
            <w:pPr>
              <w:pStyle w:val="TableText"/>
            </w:pPr>
          </w:p>
        </w:tc>
        <w:tc>
          <w:tcPr>
            <w:tcW w:w="2409" w:type="dxa"/>
          </w:tcPr>
          <w:p>
            <w:pPr>
              <w:pStyle w:val="TableText"/>
            </w:pPr>
          </w:p>
        </w:tc>
        <w:tc>
          <w:tcPr>
            <w:tcW w:w="2409" w:type="dxa"/>
          </w:tcPr>
          <w:p>
            <w:pPr>
              <w:pStyle w:val="TableText"/>
            </w:pPr>
          </w:p>
        </w:tc>
        <w:tc>
          <w:tcPr>
            <w:tcW w:w="2409" w:type="dxa"/>
          </w:tcPr>
          <w:p>
            <w:pPr>
              <w:pStyle w:val="TableText"/>
            </w:pPr>
          </w:p>
        </w:tc>
      </w:tr>
    </w:tbl>
    <w:p/>
    <w:sectPr>
      <w:footerReference w:type="default" r:id="rIdFooter"/>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w:p>
    <w:pPr>
      <w:pStyle w:val="Footer"/>
      <w:tabs>
        <w:tab w:val="right" w:pos="9638"/>
      </w:tabs>
    </w:pPr>
    <w:r>
      <w:t xml:space="preserve">Information Security Policy · </w:t>
    </w:r>
    <w:r>
      <w:rPr>
        <w:highlight w:val="yellow"/>
      </w:rPr>
      <w:t xml:space="preserve">[Company]</w:t>
    </w:r>
    <w:r>
      <w:t xml:space="preserve"> · Internal</w:t>
    </w:r>
    <w:r>
      <w:tab/>
    </w:r>
    <w:r>
      <w:t xml:space="preserve">Page </w:t>
    </w:r>
    <w:fldSimple w:instr=" PAGE ">
      <w:r>
        <w:t>1</w:t>
      </w:r>
    </w:fldSimple>
    <w:r>
      <w:t xml:space="preserve"> of </w:t>
    </w:r>
    <w:fldSimple w:instr=" NUMPAGES ">
      <w:r>
        <w:t>1</w:t>
      </w:r>
    </w:fldSimple>
  </w:p>
</w:ftr>
</file>

<file path=word/numbering.xml><?xml version="1.0" encoding="utf-8"?>
<w:numbering xmlns:w="http://schemas.openxmlformats.org/wordprocessingml/2006/main" xmlns:r="http://schemas.openxmlformats.org/officeDocument/2006/relationships">
  <w:abstractNum w:abstractNumId="0">
    <w:multiLevelType w:val="singleLevel"/>
    <w:lvl w:ilvl="0">
      <w:start w:val="1"/>
      <w:numFmt w:val="bullet"/>
      <w:lvlText w:val="•"/>
      <w:lvlJc w:val="left"/>
      <w:pPr>
        <w:ind w:left="360" w:hanging="260"/>
      </w:pPr>
    </w:lvl>
  </w:abstractNum>
  <w:abstractNum w:abstractNumId="1">
    <w:multiLevelType w:val="singleLevel"/>
    <w:lvl w:ilvl="0">
      <w:start w:val="1"/>
      <w:numFmt w:val="decimal"/>
      <w:lvlText w:val="%1."/>
      <w:lvlJc w:val="left"/>
      <w:pPr>
        <w:ind w:left="360" w:hanging="300"/>
      </w:pPr>
    </w:lvl>
  </w:abstractNum>
  <w:num w:numId="1">
    <w:abstractNumId w:val="0"/>
  </w:num>
</w:numbering>
</file>

<file path=word/styles.xml><?xml version="1.0" encoding="utf-8"?>
<w:styles xmlns:w="http://schemas.openxmlformats.org/wordprocessingml/2006/main" xmlns:r="http://schemas.openxmlformats.org/officeDocument/2006/relationships">
  <w:docDefaults>
    <w:rPrDefault>
      <w:rPr>
        <w:rFonts w:ascii="Calibri" w:hAnsi="Calibri" w:eastAsia="Calibri" w:cs="Calibri"/>
        <w:sz w:val="21"/>
        <w:szCs w:val="21"/>
        <w:lang w:val="en-GB"/>
      </w:rPr>
    </w:rPrDefault>
    <w:pPrDefault>
      <w:pPr>
        <w:spacing w:after="100" w:line="264" w:lineRule="auto"/>
      </w:pPr>
    </w:pPrDefault>
  </w:docDefaults>
  <w:style w:type="paragraph" w:default="1" w:styleId="Normal">
    <w:name w:val="Normal"/>
    <w:qFormat/>
  </w:style>
  <w:style w:type="paragraph" w:styleId="Title">
    <w:name w:val="Title"/>
    <w:basedOn w:val="Normal"/>
    <w:qFormat/>
    <w:pPr>
      <w:spacing w:after="60"/>
    </w:pPr>
    <w:rPr>
      <w:b/>
      <w:color w:val="1F3A8A"/>
      <w:sz w:val="40"/>
      <w:szCs w:val="40"/>
    </w:rPr>
  </w:style>
  <w:style w:type="paragraph" w:styleId="Subtitle">
    <w:name w:val="Subtitle"/>
    <w:basedOn w:val="Normal"/>
    <w:qFormat/>
    <w:pPr>
      <w:spacing w:after="200"/>
    </w:pPr>
    <w:rPr>
      <w:color w:val="667085"/>
      <w:sz w:val="20"/>
    </w:rPr>
  </w:style>
  <w:style w:type="paragraph" w:styleId="Heading1">
    <w:name w:val="heading 1"/>
    <w:basedOn w:val="Normal"/>
    <w:next w:val="Normal"/>
    <w:qFormat/>
    <w:pPr>
      <w:keepNext/>
      <w:spacing w:before="240" w:after="80"/>
      <w:outlineLvl w:val="0"/>
    </w:pPr>
    <w:rPr>
      <w:b/>
      <w:color w:val="1F3A8A"/>
      <w:sz w:val="26"/>
      <w:szCs w:val="26"/>
    </w:rPr>
  </w:style>
  <w:style w:type="paragraph" w:styleId="Heading2">
    <w:name w:val="heading 2"/>
    <w:basedOn w:val="Normal"/>
    <w:next w:val="Normal"/>
    <w:qFormat/>
    <w:pPr>
      <w:keepNext/>
      <w:spacing w:before="160" w:after="60"/>
      <w:outlineLvl w:val="1"/>
    </w:pPr>
    <w:rPr>
      <w:b/>
      <w:sz w:val="22"/>
    </w:rPr>
  </w:style>
  <w:style w:type="paragraph" w:styleId="ListParagraph">
    <w:name w:val="List Paragraph"/>
    <w:basedOn w:val="Normal"/>
    <w:pPr>
      <w:spacing w:after="60"/>
      <w:ind w:left="360"/>
    </w:pPr>
  </w:style>
  <w:style w:type="paragraph" w:styleId="Note">
    <w:name w:val="Note"/>
    <w:basedOn w:val="Normal"/>
    <w:pPr>
      <w:pBdr>
        <w:left w:val="single" w:sz="18" w:space="6" w:color="E0B400"/>
      </w:pBdr>
      <w:shd w:val="clear" w:color="auto" w:fill="FFF8DC"/>
      <w:spacing w:after="160"/>
      <w:ind w:left="120"/>
    </w:pPr>
    <w:rPr>
      <w:i/>
      <w:color w:val="5C4A00"/>
      <w:sz w:val="19"/>
    </w:rPr>
  </w:style>
  <w:style w:type="paragraph" w:styleId="TableText">
    <w:name w:val="Table Text"/>
    <w:basedOn w:val="Normal"/>
    <w:pPr>
      <w:spacing w:before="20" w:after="20" w:line="240" w:lineRule="auto"/>
    </w:pPr>
    <w:rPr>
      <w:sz w:val="19"/>
      <w:szCs w:val="19"/>
    </w:rPr>
  </w:style>
  <w:style w:type="paragraph" w:styleId="Footer">
    <w:name w:val="footer"/>
    <w:basedOn w:val="Normal"/>
    <w:rPr>
      <w:color w:val="667085"/>
      <w:sz w:val="16"/>
    </w:rPr>
  </w:style>
  <w:style w:type="table" w:styleId="Grid">
    <w:name w:val="Grid"/>
    <w:tblPr>
      <w:tblBorders>
        <w:top w:val="single" w:sz="4" w:color="C8CDD5"/>
        <w:left w:val="single" w:sz="4" w:color="C8CDD5"/>
        <w:bottom w:val="single" w:sz="4" w:color="C8CDD5"/>
        <w:right w:val="single" w:sz="4" w:color="C8CDD5"/>
        <w:insideH w:val="single" w:sz="4" w:color="C8CDD5"/>
        <w:insideV w:val="single" w:sz="4" w:color="C8CDD5"/>
      </w:tblBorders>
      <w:tblCellMar>
        <w:left w:w="80" w:type="dxa"/>
        <w:right w:w="80" w:type="dxa"/>
      </w:tblCellMar>
    </w:tblPr>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Information Security Policy</dc:title>
  <dc:creator>Z9 Monitor</dc:creator>
  <dcterms:created xsi:type="dcterms:W3CDTF">2026-10-05T15:17:43Z</dcterms:created>
  <dcterms:modified xsi:type="dcterms:W3CDTF">2026-10-05T15:17:43Z</dcterms:modified>
</cp:coreProperties>
</file>