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Incident Response Procedure</w:t>
      </w:r>
    </w:p>
    <w:p>
      <w:pPr>
        <w:pStyle w:val="Subtitle"/>
      </w:pPr>
      <w:r>
        <w:rPr>
          <w:highlight w:val="yellow"/>
        </w:rPr>
        <w:t xml:space="preserve">[Company]</w:t>
      </w:r>
      <w:r>
        <w:t xml:space="preserve"> · ISO/IEC 27001:2022 Annex A A.5.24, A.5.25</w:t>
      </w:r>
    </w:p>
    <w:p>
      <w:pPr>
        <w:pStyle w:val="Note"/>
      </w:pPr>
      <w:r>
        <w:t xml:space="preserve">How to use this template: replace the yellow </w:t>
      </w:r>
      <w:r>
        <w:rPr>
          <w:highlight w:val="yellow"/>
        </w:rPr>
        <w:t xml:space="preserve">[fields]</w:t>
      </w:r>
      <w:r>
        <w:t xml:space="preserve">, delete what does not apply to you, have the document approved, and store it where staff can find it. In Z9 Monitor, open Compliance, press Confirm on the control and note where the approved document is kept.</w:t>
      </w:r>
    </w:p>
    <w:tbl>
      <w:tblPr>
        <w:tblStyle w:val="Grid"/>
        <w:tblW w:w="9638" w:type="dxa"/>
        <w:tblLayout w:type="fixed"/>
      </w:tblPr>
      <w:tblGrid>
        <w:gridCol w:w="1606"/>
        <w:gridCol w:w="1606"/>
        <w:gridCol w:w="1606"/>
        <w:gridCol w:w="1606"/>
        <w:gridCol w:w="1606"/>
        <w:gridCol w:w="1606"/>
      </w:tblGrid>
      <w:tr>
        <w:trPr>
          <w:tblHeader/>
        </w:trPr>
        <w:tc>
          <w:tcPr>
            <w:tcW w:w="1606" w:type="dxa"/>
            <w:shd w:val="clear" w:color="auto" w:fill="E8EEFB"/>
          </w:tcPr>
          <w:p>
            <w:pPr>
              <w:pStyle w:val="TableText"/>
            </w:pPr>
            <w:r>
              <w:rPr>
                <w:b/>
              </w:rPr>
              <w:t xml:space="preserve">Document owner</w:t>
            </w:r>
          </w:p>
        </w:tc>
        <w:tc>
          <w:tcPr>
            <w:tcW w:w="1606" w:type="dxa"/>
            <w:shd w:val="clear" w:color="auto" w:fill="E8EEFB"/>
          </w:tcPr>
          <w:p>
            <w:pPr>
              <w:pStyle w:val="TableText"/>
            </w:pPr>
            <w:r>
              <w:rPr>
                <w:b/>
              </w:rPr>
              <w:t xml:space="preserve">Approved by</w:t>
            </w:r>
          </w:p>
        </w:tc>
        <w:tc>
          <w:tcPr>
            <w:tcW w:w="1606" w:type="dxa"/>
            <w:shd w:val="clear" w:color="auto" w:fill="E8EEFB"/>
          </w:tcPr>
          <w:p>
            <w:pPr>
              <w:pStyle w:val="TableText"/>
            </w:pPr>
            <w:r>
              <w:rPr>
                <w:b/>
              </w:rPr>
              <w:t xml:space="preserve">Version</w:t>
            </w:r>
          </w:p>
        </w:tc>
        <w:tc>
          <w:tcPr>
            <w:tcW w:w="1606" w:type="dxa"/>
            <w:shd w:val="clear" w:color="auto" w:fill="E8EEFB"/>
          </w:tcPr>
          <w:p>
            <w:pPr>
              <w:pStyle w:val="TableText"/>
            </w:pPr>
            <w:r>
              <w:rPr>
                <w:b/>
              </w:rPr>
              <w:t xml:space="preserve">Effective date</w:t>
            </w:r>
          </w:p>
        </w:tc>
        <w:tc>
          <w:tcPr>
            <w:tcW w:w="1606" w:type="dxa"/>
            <w:shd w:val="clear" w:color="auto" w:fill="E8EEFB"/>
          </w:tcPr>
          <w:p>
            <w:pPr>
              <w:pStyle w:val="TableText"/>
            </w:pPr>
            <w:r>
              <w:rPr>
                <w:b/>
              </w:rPr>
              <w:t xml:space="preserve">Next review</w:t>
            </w:r>
          </w:p>
        </w:tc>
        <w:tc>
          <w:tcPr>
            <w:tcW w:w="1606" w:type="dxa"/>
            <w:shd w:val="clear" w:color="auto" w:fill="E8EEFB"/>
          </w:tcPr>
          <w:p>
            <w:pPr>
              <w:pStyle w:val="TableText"/>
            </w:pPr>
            <w:r>
              <w:rPr>
                <w:b/>
              </w:rPr>
              <w:t xml:space="preserve">Classification</w:t>
            </w:r>
          </w:p>
        </w:tc>
      </w:tr>
      <w:tr>
        <w:trPr>
          <w:cantSplit/>
        </w:trPr>
        <w:tc>
          <w:tcPr>
            <w:tcW w:w="1606" w:type="dxa"/>
          </w:tcPr>
          <w:p>
            <w:pPr>
              <w:pStyle w:val="TableText"/>
            </w:pPr>
            <w:r>
              <w:rPr>
                <w:highlight w:val="yellow"/>
              </w:rPr>
              <w:t xml:space="preserve">[Name, role]</w:t>
            </w:r>
          </w:p>
        </w:tc>
        <w:tc>
          <w:tcPr>
            <w:tcW w:w="1606" w:type="dxa"/>
          </w:tcPr>
          <w:p>
            <w:pPr>
              <w:pStyle w:val="TableText"/>
            </w:pPr>
            <w:r>
              <w:rPr>
                <w:highlight w:val="yellow"/>
              </w:rPr>
              <w:t xml:space="preserve">[Name, role]</w:t>
            </w:r>
          </w:p>
        </w:tc>
        <w:tc>
          <w:tcPr>
            <w:tcW w:w="1606" w:type="dxa"/>
          </w:tcPr>
          <w:p>
            <w:pPr>
              <w:pStyle w:val="TableText"/>
            </w:pPr>
            <w:r>
              <w:t xml:space="preserve">1.0</w:t>
            </w:r>
          </w:p>
        </w:tc>
        <w:tc>
          <w:tcPr>
            <w:tcW w:w="1606" w:type="dxa"/>
          </w:tcPr>
          <w:p>
            <w:pPr>
              <w:pStyle w:val="TableText"/>
            </w:pPr>
            <w:r>
              <w:rPr>
                <w:highlight w:val="yellow"/>
              </w:rPr>
              <w:t xml:space="preserve">[YYYY-MM-DD]</w:t>
            </w:r>
          </w:p>
        </w:tc>
        <w:tc>
          <w:tcPr>
            <w:tcW w:w="1606" w:type="dxa"/>
          </w:tcPr>
          <w:p>
            <w:pPr>
              <w:pStyle w:val="TableText"/>
            </w:pPr>
            <w:r>
              <w:rPr>
                <w:highlight w:val="yellow"/>
              </w:rPr>
              <w:t xml:space="preserve">[YYYY-MM-DD]</w:t>
            </w:r>
          </w:p>
        </w:tc>
        <w:tc>
          <w:tcPr>
            <w:tcW w:w="1606" w:type="dxa"/>
          </w:tcPr>
          <w:p>
            <w:pPr>
              <w:pStyle w:val="TableText"/>
            </w:pPr>
            <w:r>
              <w:t xml:space="preserve">Internal</w:t>
            </w:r>
          </w:p>
        </w:tc>
      </w:tr>
    </w:tbl>
    <w:p/>
    <w:p>
      <w:pPr>
        <w:pStyle w:val="Heading1"/>
      </w:pPr>
      <w:r>
        <w:t xml:space="preserve">1. Purpose</w:t>
      </w:r>
    </w:p>
    <w:p>
      <w:r>
        <w:t xml:space="preserve">How </w:t>
      </w:r>
      <w:r>
        <w:rPr>
          <w:highlight w:val="yellow"/>
        </w:rPr>
        <w:t xml:space="preserve">[Company]</w:t>
      </w:r>
      <w:r>
        <w:t xml:space="preserve"> reports, assesses, handles and learns from information security events and incidents.</w:t>
      </w:r>
    </w:p>
    <w:p>
      <w:pPr>
        <w:pStyle w:val="Heading1"/>
      </w:pPr>
      <w:r>
        <w:t xml:space="preserve">2. Definitions</w:t>
      </w:r>
    </w:p>
    <w:p>
      <w:pPr>
        <w:pStyle w:val="ListParagraph"/>
        <w:numPr>
          <w:ilvl w:val="0"/>
          <w:numId w:val="1"/>
        </w:numPr>
      </w:pPr>
      <w:r>
        <w:t xml:space="preserve">Security event: something that may affect security – for example a monitoring alert, a suspicious e-mail or a failed sign-in burst.</w:t>
      </w:r>
    </w:p>
    <w:p>
      <w:pPr>
        <w:pStyle w:val="ListParagraph"/>
        <w:numPr>
          <w:ilvl w:val="0"/>
          <w:numId w:val="1"/>
        </w:numPr>
      </w:pPr>
      <w:r>
        <w:t xml:space="preserve">Security incident: an event that harms, or is likely to harm, the confidentiality, integrity or availability of information or systems.</w:t>
      </w:r>
    </w:p>
    <w:p>
      <w:pPr>
        <w:pStyle w:val="Heading1"/>
      </w:pPr>
      <w:r>
        <w:t xml:space="preserve">3. Reporting</w:t>
      </w:r>
    </w:p>
    <w:p>
      <w:r>
        <w:t xml:space="preserve">Everyone reports suspected incidents at once to </w:t>
      </w:r>
      <w:r>
        <w:rPr>
          <w:highlight w:val="yellow"/>
        </w:rPr>
        <w:t xml:space="preserve">[IT contact – e-mail, phone]</w:t>
      </w:r>
      <w:r>
        <w:t xml:space="preserve">. Alerts from monitoring (for example Z9 Monitor) go to </w:t>
      </w:r>
      <w:r>
        <w:rPr>
          <w:highlight w:val="yellow"/>
        </w:rPr>
        <w:t xml:space="preserve">[channel]</w:t>
      </w:r>
      <w:r>
        <w:t xml:space="preserve"> and are checked by </w:t>
      </w:r>
      <w:r>
        <w:rPr>
          <w:highlight w:val="yellow"/>
        </w:rPr>
        <w:t xml:space="preserve">[on-duty IT]</w:t>
      </w:r>
      <w:r>
        <w:t xml:space="preserve"> within </w:t>
      </w:r>
      <w:r>
        <w:rPr>
          <w:highlight w:val="yellow"/>
        </w:rPr>
        <w:t xml:space="preserve">[1]</w:t>
      </w:r>
      <w:r>
        <w:t xml:space="preserve"> hour during working hours.</w:t>
      </w:r>
    </w:p>
    <w:p>
      <w:pPr>
        <w:pStyle w:val="Heading1"/>
      </w:pPr>
      <w:r>
        <w:t xml:space="preserve">4. Assessment and classification</w:t>
      </w:r>
    </w:p>
    <w:tbl>
      <w:tblPr>
        <w:tblStyle w:val="Grid"/>
        <w:tblW w:w="9638" w:type="dxa"/>
        <w:tblLayout w:type="fixed"/>
      </w:tblPr>
      <w:tblGrid>
        <w:gridCol w:w="3212"/>
        <w:gridCol w:w="3212"/>
        <w:gridCol w:w="3212"/>
      </w:tblGrid>
      <w:tr>
        <w:trPr>
          <w:tblHeader/>
        </w:trPr>
        <w:tc>
          <w:tcPr>
            <w:tcW w:w="3212" w:type="dxa"/>
            <w:shd w:val="clear" w:color="auto" w:fill="E8EEFB"/>
          </w:tcPr>
          <w:p>
            <w:pPr>
              <w:pStyle w:val="TableText"/>
            </w:pPr>
            <w:r>
              <w:rPr>
                <w:b/>
              </w:rPr>
              <w:t xml:space="preserve">Severity</w:t>
            </w:r>
          </w:p>
        </w:tc>
        <w:tc>
          <w:tcPr>
            <w:tcW w:w="3212" w:type="dxa"/>
            <w:shd w:val="clear" w:color="auto" w:fill="E8EEFB"/>
          </w:tcPr>
          <w:p>
            <w:pPr>
              <w:pStyle w:val="TableText"/>
            </w:pPr>
            <w:r>
              <w:rPr>
                <w:b/>
              </w:rPr>
              <w:t xml:space="preserve">Examples</w:t>
            </w:r>
          </w:p>
        </w:tc>
        <w:tc>
          <w:tcPr>
            <w:tcW w:w="3212" w:type="dxa"/>
            <w:shd w:val="clear" w:color="auto" w:fill="E8EEFB"/>
          </w:tcPr>
          <w:p>
            <w:pPr>
              <w:pStyle w:val="TableText"/>
            </w:pPr>
            <w:r>
              <w:rPr>
                <w:b/>
              </w:rPr>
              <w:t xml:space="preserve">Response</w:t>
            </w:r>
          </w:p>
        </w:tc>
      </w:tr>
      <w:tr>
        <w:trPr>
          <w:cantSplit/>
        </w:trPr>
        <w:tc>
          <w:tcPr>
            <w:tcW w:w="3212" w:type="dxa"/>
          </w:tcPr>
          <w:p>
            <w:pPr>
              <w:pStyle w:val="TableText"/>
            </w:pPr>
            <w:r>
              <w:t xml:space="preserve">Critical</w:t>
            </w:r>
          </w:p>
        </w:tc>
        <w:tc>
          <w:tcPr>
            <w:tcW w:w="3212" w:type="dxa"/>
          </w:tcPr>
          <w:p>
            <w:pPr>
              <w:pStyle w:val="TableText"/>
            </w:pPr>
            <w:r>
              <w:t xml:space="preserve">Ransomware, data breach of personal data, outage of </w:t>
            </w:r>
            <w:r>
              <w:rPr>
                <w:highlight w:val="yellow"/>
              </w:rPr>
              <w:t xml:space="preserve">[critical system]</w:t>
            </w:r>
          </w:p>
        </w:tc>
        <w:tc>
          <w:tcPr>
            <w:tcW w:w="3212" w:type="dxa"/>
          </w:tcPr>
          <w:p>
            <w:pPr>
              <w:pStyle w:val="TableText"/>
            </w:pPr>
            <w:r>
              <w:t xml:space="preserve">Incident manager at once; management informed within </w:t>
            </w:r>
            <w:r>
              <w:rPr>
                <w:highlight w:val="yellow"/>
              </w:rPr>
              <w:t xml:space="preserve">[1]</w:t>
            </w:r>
            <w:r>
              <w:t xml:space="preserve"> hour</w:t>
            </w:r>
          </w:p>
        </w:tc>
      </w:tr>
      <w:tr>
        <w:trPr>
          <w:cantSplit/>
        </w:trPr>
        <w:tc>
          <w:tcPr>
            <w:tcW w:w="3212" w:type="dxa"/>
          </w:tcPr>
          <w:p>
            <w:pPr>
              <w:pStyle w:val="TableText"/>
            </w:pPr>
            <w:r>
              <w:t xml:space="preserve">High</w:t>
            </w:r>
          </w:p>
        </w:tc>
        <w:tc>
          <w:tcPr>
            <w:tcW w:w="3212" w:type="dxa"/>
          </w:tcPr>
          <w:p>
            <w:pPr>
              <w:pStyle w:val="TableText"/>
            </w:pPr>
            <w:r>
              <w:t xml:space="preserve">Compromised account, malware on a server, failed backups of critical data</w:t>
            </w:r>
          </w:p>
        </w:tc>
        <w:tc>
          <w:tcPr>
            <w:tcW w:w="3212" w:type="dxa"/>
          </w:tcPr>
          <w:p>
            <w:pPr>
              <w:pStyle w:val="TableText"/>
            </w:pPr>
            <w:r>
              <w:t xml:space="preserve">Start within </w:t>
            </w:r>
            <w:r>
              <w:rPr>
                <w:highlight w:val="yellow"/>
              </w:rPr>
              <w:t xml:space="preserve">[4]</w:t>
            </w:r>
            <w:r>
              <w:t xml:space="preserve"> hours</w:t>
            </w:r>
          </w:p>
        </w:tc>
      </w:tr>
      <w:tr>
        <w:trPr>
          <w:cantSplit/>
        </w:trPr>
        <w:tc>
          <w:tcPr>
            <w:tcW w:w="3212" w:type="dxa"/>
          </w:tcPr>
          <w:p>
            <w:pPr>
              <w:pStyle w:val="TableText"/>
            </w:pPr>
            <w:r>
              <w:t xml:space="preserve">Medium</w:t>
            </w:r>
          </w:p>
        </w:tc>
        <w:tc>
          <w:tcPr>
            <w:tcW w:w="3212" w:type="dxa"/>
          </w:tcPr>
          <w:p>
            <w:pPr>
              <w:pStyle w:val="TableText"/>
            </w:pPr>
            <w:r>
              <w:t xml:space="preserve">Malware blocked on a PC, phishing clicked without credentials entered</w:t>
            </w:r>
          </w:p>
        </w:tc>
        <w:tc>
          <w:tcPr>
            <w:tcW w:w="3212" w:type="dxa"/>
          </w:tcPr>
          <w:p>
            <w:pPr>
              <w:pStyle w:val="TableText"/>
            </w:pPr>
            <w:r>
              <w:t xml:space="preserve">Within </w:t>
            </w:r>
            <w:r>
              <w:rPr>
                <w:highlight w:val="yellow"/>
              </w:rPr>
              <w:t xml:space="preserve">[1]</w:t>
            </w:r>
            <w:r>
              <w:t xml:space="preserve"> working day</w:t>
            </w:r>
          </w:p>
        </w:tc>
      </w:tr>
      <w:tr>
        <w:trPr>
          <w:cantSplit/>
        </w:trPr>
        <w:tc>
          <w:tcPr>
            <w:tcW w:w="3212" w:type="dxa"/>
          </w:tcPr>
          <w:p>
            <w:pPr>
              <w:pStyle w:val="TableText"/>
            </w:pPr>
            <w:r>
              <w:t xml:space="preserve">Low</w:t>
            </w:r>
          </w:p>
        </w:tc>
        <w:tc>
          <w:tcPr>
            <w:tcW w:w="3212" w:type="dxa"/>
          </w:tcPr>
          <w:p>
            <w:pPr>
              <w:pStyle w:val="TableText"/>
            </w:pPr>
            <w:r>
              <w:t xml:space="preserve">Policy breach without impact, spam</w:t>
            </w:r>
          </w:p>
        </w:tc>
        <w:tc>
          <w:tcPr>
            <w:tcW w:w="3212" w:type="dxa"/>
          </w:tcPr>
          <w:p>
            <w:pPr>
              <w:pStyle w:val="TableText"/>
            </w:pPr>
            <w:r>
              <w:t xml:space="preserve">Within </w:t>
            </w:r>
            <w:r>
              <w:rPr>
                <w:highlight w:val="yellow"/>
              </w:rPr>
              <w:t xml:space="preserve">[5]</w:t>
            </w:r>
            <w:r>
              <w:t xml:space="preserve"> working days</w:t>
            </w:r>
          </w:p>
        </w:tc>
      </w:tr>
    </w:tbl>
    <w:p/>
    <w:p>
      <w:pPr>
        <w:pStyle w:val="Heading1"/>
      </w:pPr>
      <w:r>
        <w:t xml:space="preserve">5. Handling</w:t>
      </w:r>
    </w:p>
    <w:p>
      <w:pPr>
        <w:pStyle w:val="ListParagraph"/>
        <w:numPr>
          <w:ilvl w:val="0"/>
          <w:numId w:val="2"/>
        </w:numPr>
      </w:pPr>
      <w:r>
        <w:t xml:space="preserve">Record the incident in the incident log (number, time, who reported, what is affected).</w:t>
      </w:r>
    </w:p>
    <w:p>
      <w:pPr>
        <w:pStyle w:val="ListParagraph"/>
        <w:numPr>
          <w:ilvl w:val="0"/>
          <w:numId w:val="2"/>
        </w:numPr>
      </w:pPr>
      <w:r>
        <w:t xml:space="preserve">Contain: isolate affected systems or accounts; keep evidence (see the Evidence Collection form).</w:t>
      </w:r>
    </w:p>
    <w:p>
      <w:pPr>
        <w:pStyle w:val="ListParagraph"/>
        <w:numPr>
          <w:ilvl w:val="0"/>
          <w:numId w:val="2"/>
        </w:numPr>
      </w:pPr>
      <w:r>
        <w:t xml:space="preserve">Eradicate the cause and recover from clean backups; confirm the systems work normally.</w:t>
      </w:r>
    </w:p>
    <w:p>
      <w:pPr>
        <w:pStyle w:val="ListParagraph"/>
        <w:numPr>
          <w:ilvl w:val="0"/>
          <w:numId w:val="2"/>
        </w:numPr>
      </w:pPr>
      <w:r>
        <w:t xml:space="preserve">Notify as required: management, customers, insurer, the data protection authority for personal data breaches (</w:t>
      </w:r>
      <w:r>
        <w:rPr>
          <w:highlight w:val="yellow"/>
        </w:rPr>
        <w:t xml:space="preserve">[deadline under the applicable law]</w:t>
      </w:r>
      <w:r>
        <w:t xml:space="preserve">), the national CERT.</w:t>
      </w:r>
    </w:p>
    <w:p>
      <w:pPr>
        <w:pStyle w:val="ListParagraph"/>
        <w:numPr>
          <w:ilvl w:val="0"/>
          <w:numId w:val="2"/>
        </w:numPr>
      </w:pPr>
      <w:r>
        <w:t xml:space="preserve">Close the incident and hold a lessons-learned review within </w:t>
      </w:r>
      <w:r>
        <w:rPr>
          <w:highlight w:val="yellow"/>
        </w:rPr>
        <w:t xml:space="preserve">[10]</w:t>
      </w:r>
      <w:r>
        <w:t xml:space="preserve"> working days for Critical and High incidents.</w:t>
      </w:r>
    </w:p>
    <w:p>
      <w:pPr>
        <w:pStyle w:val="Heading1"/>
      </w:pPr>
      <w:r>
        <w:t xml:space="preserve">6. Contacts</w:t>
      </w:r>
    </w:p>
    <w:tbl>
      <w:tblPr>
        <w:tblStyle w:val="Grid"/>
        <w:tblW w:w="9638" w:type="dxa"/>
        <w:tblLayout w:type="fixed"/>
      </w:tblPr>
      <w:tblGrid>
        <w:gridCol w:w="2409"/>
        <w:gridCol w:w="2409"/>
        <w:gridCol w:w="2409"/>
        <w:gridCol w:w="2409"/>
      </w:tblGrid>
      <w:tr>
        <w:trPr>
          <w:tblHeader/>
        </w:trPr>
        <w:tc>
          <w:tcPr>
            <w:tcW w:w="2409" w:type="dxa"/>
            <w:shd w:val="clear" w:color="auto" w:fill="E8EEFB"/>
          </w:tcPr>
          <w:p>
            <w:pPr>
              <w:pStyle w:val="TableText"/>
            </w:pPr>
            <w:r>
              <w:rPr>
                <w:b/>
              </w:rPr>
              <w:t xml:space="preserve">Role</w:t>
            </w:r>
          </w:p>
        </w:tc>
        <w:tc>
          <w:tcPr>
            <w:tcW w:w="2409" w:type="dxa"/>
            <w:shd w:val="clear" w:color="auto" w:fill="E8EEFB"/>
          </w:tcPr>
          <w:p>
            <w:pPr>
              <w:pStyle w:val="TableText"/>
            </w:pPr>
            <w:r>
              <w:rPr>
                <w:b/>
              </w:rPr>
              <w:t xml:space="preserve">Name</w:t>
            </w:r>
          </w:p>
        </w:tc>
        <w:tc>
          <w:tcPr>
            <w:tcW w:w="2409" w:type="dxa"/>
            <w:shd w:val="clear" w:color="auto" w:fill="E8EEFB"/>
          </w:tcPr>
          <w:p>
            <w:pPr>
              <w:pStyle w:val="TableText"/>
            </w:pPr>
            <w:r>
              <w:rPr>
                <w:b/>
              </w:rPr>
              <w:t xml:space="preserve">Phone</w:t>
            </w:r>
          </w:p>
        </w:tc>
        <w:tc>
          <w:tcPr>
            <w:tcW w:w="2409" w:type="dxa"/>
            <w:shd w:val="clear" w:color="auto" w:fill="E8EEFB"/>
          </w:tcPr>
          <w:p>
            <w:pPr>
              <w:pStyle w:val="TableText"/>
            </w:pPr>
            <w:r>
              <w:rPr>
                <w:b/>
              </w:rPr>
              <w:t xml:space="preserve">E-mail</w:t>
            </w:r>
          </w:p>
        </w:tc>
      </w:tr>
      <w:tr>
        <w:trPr>
          <w:cantSplit/>
        </w:trPr>
        <w:tc>
          <w:tcPr>
            <w:tcW w:w="2409" w:type="dxa"/>
          </w:tcPr>
          <w:p>
            <w:pPr>
              <w:pStyle w:val="TableText"/>
            </w:pPr>
            <w:r>
              <w:t xml:space="preserve">Incident manager</w:t>
            </w:r>
          </w:p>
        </w:tc>
        <w:tc>
          <w:tcPr>
            <w:tcW w:w="2409" w:type="dxa"/>
          </w:tcPr>
          <w:p>
            <w:pPr>
              <w:pStyle w:val="TableText"/>
            </w:pPr>
            <w:r>
              <w:rPr>
                <w:highlight w:val="yellow"/>
              </w:rPr>
              <w:t xml:space="preserve">[Name]</w:t>
            </w:r>
          </w:p>
        </w:tc>
        <w:tc>
          <w:tcPr>
            <w:tcW w:w="2409" w:type="dxa"/>
          </w:tcPr>
          <w:p>
            <w:pPr>
              <w:pStyle w:val="TableText"/>
            </w:pPr>
          </w:p>
        </w:tc>
        <w:tc>
          <w:tcPr>
            <w:tcW w:w="2409" w:type="dxa"/>
          </w:tcPr>
          <w:p>
            <w:pPr>
              <w:pStyle w:val="TableText"/>
            </w:pPr>
          </w:p>
        </w:tc>
      </w:tr>
      <w:tr>
        <w:trPr>
          <w:cantSplit/>
        </w:trPr>
        <w:tc>
          <w:tcPr>
            <w:tcW w:w="2409" w:type="dxa"/>
          </w:tcPr>
          <w:p>
            <w:pPr>
              <w:pStyle w:val="TableText"/>
            </w:pPr>
            <w:r>
              <w:t xml:space="preserve">IT on duty</w:t>
            </w:r>
          </w:p>
        </w:tc>
        <w:tc>
          <w:tcPr>
            <w:tcW w:w="2409" w:type="dxa"/>
          </w:tcPr>
          <w:p>
            <w:pPr>
              <w:pStyle w:val="TableText"/>
            </w:pPr>
            <w:r>
              <w:rPr>
                <w:highlight w:val="yellow"/>
              </w:rPr>
              <w:t xml:space="preserve">[Name]</w:t>
            </w:r>
          </w:p>
        </w:tc>
        <w:tc>
          <w:tcPr>
            <w:tcW w:w="2409" w:type="dxa"/>
          </w:tcPr>
          <w:p>
            <w:pPr>
              <w:pStyle w:val="TableText"/>
            </w:pPr>
          </w:p>
        </w:tc>
        <w:tc>
          <w:tcPr>
            <w:tcW w:w="2409" w:type="dxa"/>
          </w:tcPr>
          <w:p>
            <w:pPr>
              <w:pStyle w:val="TableText"/>
            </w:pPr>
          </w:p>
        </w:tc>
      </w:tr>
      <w:tr>
        <w:trPr>
          <w:cantSplit/>
        </w:trPr>
        <w:tc>
          <w:tcPr>
            <w:tcW w:w="2409" w:type="dxa"/>
          </w:tcPr>
          <w:p>
            <w:pPr>
              <w:pStyle w:val="TableText"/>
            </w:pPr>
            <w:r>
              <w:t xml:space="preserve">Management</w:t>
            </w:r>
          </w:p>
        </w:tc>
        <w:tc>
          <w:tcPr>
            <w:tcW w:w="2409" w:type="dxa"/>
          </w:tcPr>
          <w:p>
            <w:pPr>
              <w:pStyle w:val="TableText"/>
            </w:pPr>
            <w:r>
              <w:rPr>
                <w:highlight w:val="yellow"/>
              </w:rPr>
              <w:t xml:space="preserve">[Name]</w:t>
            </w:r>
          </w:p>
        </w:tc>
        <w:tc>
          <w:tcPr>
            <w:tcW w:w="2409" w:type="dxa"/>
          </w:tcPr>
          <w:p>
            <w:pPr>
              <w:pStyle w:val="TableText"/>
            </w:pPr>
          </w:p>
        </w:tc>
        <w:tc>
          <w:tcPr>
            <w:tcW w:w="2409" w:type="dxa"/>
          </w:tcPr>
          <w:p>
            <w:pPr>
              <w:pStyle w:val="TableText"/>
            </w:pPr>
          </w:p>
        </w:tc>
      </w:tr>
      <w:tr>
        <w:trPr>
          <w:cantSplit/>
        </w:trPr>
        <w:tc>
          <w:tcPr>
            <w:tcW w:w="2409" w:type="dxa"/>
          </w:tcPr>
          <w:p>
            <w:pPr>
              <w:pStyle w:val="TableText"/>
            </w:pPr>
            <w:r>
              <w:t xml:space="preserve">Data protection officer</w:t>
            </w:r>
          </w:p>
        </w:tc>
        <w:tc>
          <w:tcPr>
            <w:tcW w:w="2409" w:type="dxa"/>
          </w:tcPr>
          <w:p>
            <w:pPr>
              <w:pStyle w:val="TableText"/>
            </w:pPr>
            <w:r>
              <w:rPr>
                <w:highlight w:val="yellow"/>
              </w:rPr>
              <w:t xml:space="preserve">[Name]</w:t>
            </w:r>
          </w:p>
        </w:tc>
        <w:tc>
          <w:tcPr>
            <w:tcW w:w="2409" w:type="dxa"/>
          </w:tcPr>
          <w:p>
            <w:pPr>
              <w:pStyle w:val="TableText"/>
            </w:pPr>
          </w:p>
        </w:tc>
        <w:tc>
          <w:tcPr>
            <w:tcW w:w="2409" w:type="dxa"/>
          </w:tcPr>
          <w:p>
            <w:pPr>
              <w:pStyle w:val="TableText"/>
            </w:pPr>
          </w:p>
        </w:tc>
      </w:tr>
      <w:tr>
        <w:trPr>
          <w:cantSplit/>
        </w:trPr>
        <w:tc>
          <w:tcPr>
            <w:tcW w:w="2409" w:type="dxa"/>
          </w:tcPr>
          <w:p>
            <w:pPr>
              <w:pStyle w:val="TableText"/>
            </w:pPr>
            <w:r>
              <w:t xml:space="preserve">IT support supplier</w:t>
            </w:r>
          </w:p>
        </w:tc>
        <w:tc>
          <w:tcPr>
            <w:tcW w:w="2409" w:type="dxa"/>
          </w:tcPr>
          <w:p>
            <w:pPr>
              <w:pStyle w:val="TableText"/>
            </w:pPr>
            <w:r>
              <w:rPr>
                <w:highlight w:val="yellow"/>
              </w:rPr>
              <w:t xml:space="preserve">[Company]</w:t>
            </w:r>
          </w:p>
        </w:tc>
        <w:tc>
          <w:tcPr>
            <w:tcW w:w="2409" w:type="dxa"/>
          </w:tcPr>
          <w:p>
            <w:pPr>
              <w:pStyle w:val="TableText"/>
            </w:pPr>
          </w:p>
        </w:tc>
        <w:tc>
          <w:tcPr>
            <w:tcW w:w="2409" w:type="dxa"/>
          </w:tcPr>
          <w:p>
            <w:pPr>
              <w:pStyle w:val="TableText"/>
            </w:pPr>
          </w:p>
        </w:tc>
      </w:tr>
      <w:tr>
        <w:trPr>
          <w:cantSplit/>
        </w:trPr>
        <w:tc>
          <w:tcPr>
            <w:tcW w:w="2409" w:type="dxa"/>
          </w:tcPr>
          <w:p>
            <w:pPr>
              <w:pStyle w:val="TableText"/>
            </w:pPr>
            <w:r>
              <w:t xml:space="preserve">Cyber insurance</w:t>
            </w:r>
          </w:p>
        </w:tc>
        <w:tc>
          <w:tcPr>
            <w:tcW w:w="2409" w:type="dxa"/>
          </w:tcPr>
          <w:p>
            <w:pPr>
              <w:pStyle w:val="TableText"/>
            </w:pPr>
            <w:r>
              <w:rPr>
                <w:highlight w:val="yellow"/>
              </w:rPr>
              <w:t xml:space="preserve">[Insurer, policy no.]</w:t>
            </w:r>
          </w:p>
        </w:tc>
        <w:tc>
          <w:tcPr>
            <w:tcW w:w="2409" w:type="dxa"/>
          </w:tcPr>
          <w:p>
            <w:pPr>
              <w:pStyle w:val="TableText"/>
            </w:pPr>
          </w:p>
        </w:tc>
        <w:tc>
          <w:tcPr>
            <w:tcW w:w="2409" w:type="dxa"/>
          </w:tcPr>
          <w:p>
            <w:pPr>
              <w:pStyle w:val="TableText"/>
            </w:pPr>
          </w:p>
        </w:tc>
      </w:tr>
    </w:tbl>
    <w:p/>
    <w:p>
      <w:pPr>
        <w:pStyle w:val="Heading1"/>
      </w:pPr>
      <w:r>
        <w:t xml:space="preserve">7. Records and review</w:t>
      </w:r>
    </w:p>
    <w:p>
      <w:r>
        <w:t xml:space="preserve">Incidents are recorded in the incident log. This procedure is tested at least once a year (table-top exercise) and reviewed after every Critical incident.</w:t>
      </w:r>
    </w:p>
    <w:tbl>
      <w:tblPr>
        <w:tblStyle w:val="Grid"/>
        <w:tblW w:w="9638" w:type="dxa"/>
        <w:tblLayout w:type="fixed"/>
      </w:tblPr>
      <w:tblGrid>
        <w:gridCol w:w="3212"/>
        <w:gridCol w:w="3212"/>
        <w:gridCol w:w="3212"/>
      </w:tblGrid>
      <w:tr>
        <w:trPr>
          <w:tblHeader/>
        </w:trPr>
        <w:tc>
          <w:tcPr>
            <w:tcW w:w="3212" w:type="dxa"/>
            <w:shd w:val="clear" w:color="auto" w:fill="E8EEFB"/>
          </w:tcPr>
          <w:p>
            <w:pPr>
              <w:pStyle w:val="TableText"/>
            </w:pPr>
            <w:r>
              <w:rPr>
                <w:b/>
              </w:rPr>
              <w:t xml:space="preserve">Approved by (name, title)</w:t>
            </w:r>
          </w:p>
        </w:tc>
        <w:tc>
          <w:tcPr>
            <w:tcW w:w="3212" w:type="dxa"/>
            <w:shd w:val="clear" w:color="auto" w:fill="E8EEFB"/>
          </w:tcPr>
          <w:p>
            <w:pPr>
              <w:pStyle w:val="TableText"/>
            </w:pPr>
            <w:r>
              <w:rPr>
                <w:b/>
              </w:rPr>
              <w:t xml:space="preserve">Signature</w:t>
            </w:r>
          </w:p>
        </w:tc>
        <w:tc>
          <w:tcPr>
            <w:tcW w:w="3212" w:type="dxa"/>
            <w:shd w:val="clear" w:color="auto" w:fill="E8EEFB"/>
          </w:tcPr>
          <w:p>
            <w:pPr>
              <w:pStyle w:val="TableText"/>
            </w:pPr>
            <w:r>
              <w:rPr>
                <w:b/>
              </w:rPr>
              <w:t xml:space="preserve">Date</w:t>
            </w:r>
          </w:p>
        </w:tc>
      </w:tr>
      <w:tr>
        <w:trPr>
          <w:cantSplit/>
        </w:trPr>
        <w:tc>
          <w:tcPr>
            <w:tcW w:w="3212" w:type="dxa"/>
          </w:tcPr>
          <w:p>
            <w:pPr>
              <w:pStyle w:val="TableText"/>
            </w:pPr>
            <w:r>
              <w:rPr>
                <w:highlight w:val="yellow"/>
              </w:rPr>
              <w:t xml:space="preserve">[Name, title]</w:t>
            </w:r>
          </w:p>
        </w:tc>
        <w:tc>
          <w:tcPr>
            <w:tcW w:w="3212" w:type="dxa"/>
          </w:tcPr>
          <w:p>
            <w:pPr>
              <w:pStyle w:val="TableText"/>
            </w:pPr>
          </w:p>
        </w:tc>
        <w:tc>
          <w:tcPr>
            <w:tcW w:w="3212" w:type="dxa"/>
          </w:tcPr>
          <w:p>
            <w:pPr>
              <w:pStyle w:val="TableText"/>
            </w:pPr>
          </w:p>
        </w:tc>
      </w:tr>
    </w:tbl>
    <w:p/>
    <w:p>
      <w:pPr>
        <w:pStyle w:val="Heading1"/>
      </w:pPr>
      <w:r>
        <w:t xml:space="preserve">Revision history</w:t>
      </w:r>
    </w:p>
    <w:tbl>
      <w:tblPr>
        <w:tblStyle w:val="Grid"/>
        <w:tblW w:w="9638" w:type="dxa"/>
        <w:tblLayout w:type="fixed"/>
      </w:tblPr>
      <w:tblGrid>
        <w:gridCol w:w="2409"/>
        <w:gridCol w:w="2409"/>
        <w:gridCol w:w="2409"/>
        <w:gridCol w:w="2409"/>
      </w:tblGrid>
      <w:tr>
        <w:trPr>
          <w:tblHeader/>
        </w:trPr>
        <w:tc>
          <w:tcPr>
            <w:tcW w:w="2409" w:type="dxa"/>
            <w:shd w:val="clear" w:color="auto" w:fill="E8EEFB"/>
          </w:tcPr>
          <w:p>
            <w:pPr>
              <w:pStyle w:val="TableText"/>
            </w:pPr>
            <w:r>
              <w:rPr>
                <w:b/>
              </w:rPr>
              <w:t xml:space="preserve">Version</w:t>
            </w:r>
          </w:p>
        </w:tc>
        <w:tc>
          <w:tcPr>
            <w:tcW w:w="2409" w:type="dxa"/>
            <w:shd w:val="clear" w:color="auto" w:fill="E8EEFB"/>
          </w:tcPr>
          <w:p>
            <w:pPr>
              <w:pStyle w:val="TableText"/>
            </w:pPr>
            <w:r>
              <w:rPr>
                <w:b/>
              </w:rPr>
              <w:t xml:space="preserve">Date</w:t>
            </w:r>
          </w:p>
        </w:tc>
        <w:tc>
          <w:tcPr>
            <w:tcW w:w="2409" w:type="dxa"/>
            <w:shd w:val="clear" w:color="auto" w:fill="E8EEFB"/>
          </w:tcPr>
          <w:p>
            <w:pPr>
              <w:pStyle w:val="TableText"/>
            </w:pPr>
            <w:r>
              <w:rPr>
                <w:b/>
              </w:rPr>
              <w:t xml:space="preserve">Author</w:t>
            </w:r>
          </w:p>
        </w:tc>
        <w:tc>
          <w:tcPr>
            <w:tcW w:w="2409" w:type="dxa"/>
            <w:shd w:val="clear" w:color="auto" w:fill="E8EEFB"/>
          </w:tcPr>
          <w:p>
            <w:pPr>
              <w:pStyle w:val="TableText"/>
            </w:pPr>
            <w:r>
              <w:rPr>
                <w:b/>
              </w:rPr>
              <w:t xml:space="preserve">Change</w:t>
            </w:r>
          </w:p>
        </w:tc>
      </w:tr>
      <w:tr>
        <w:trPr>
          <w:cantSplit/>
        </w:trPr>
        <w:tc>
          <w:tcPr>
            <w:tcW w:w="2409" w:type="dxa"/>
          </w:tcPr>
          <w:p>
            <w:pPr>
              <w:pStyle w:val="TableText"/>
            </w:pPr>
            <w:r>
              <w:t xml:space="preserve">1.0</w:t>
            </w:r>
          </w:p>
        </w:tc>
        <w:tc>
          <w:tcPr>
            <w:tcW w:w="2409" w:type="dxa"/>
          </w:tcPr>
          <w:p>
            <w:pPr>
              <w:pStyle w:val="TableText"/>
            </w:pPr>
            <w:r>
              <w:rPr>
                <w:highlight w:val="yellow"/>
              </w:rPr>
              <w:t xml:space="preserve">[YYYY-MM-DD]</w:t>
            </w:r>
          </w:p>
        </w:tc>
        <w:tc>
          <w:tcPr>
            <w:tcW w:w="2409" w:type="dxa"/>
          </w:tcPr>
          <w:p>
            <w:pPr>
              <w:pStyle w:val="TableText"/>
            </w:pPr>
            <w:r>
              <w:rPr>
                <w:highlight w:val="yellow"/>
              </w:rPr>
              <w:t xml:space="preserve">[Name]</w:t>
            </w:r>
          </w:p>
        </w:tc>
        <w:tc>
          <w:tcPr>
            <w:tcW w:w="2409" w:type="dxa"/>
          </w:tcPr>
          <w:p>
            <w:pPr>
              <w:pStyle w:val="TableText"/>
            </w:pPr>
            <w:r>
              <w:t xml:space="preserve">First version</w:t>
            </w:r>
          </w:p>
        </w:tc>
      </w:tr>
      <w:tr>
        <w:trPr>
          <w:cantSplit/>
        </w:trPr>
        <w:tc>
          <w:tcPr>
            <w:tcW w:w="2409" w:type="dxa"/>
          </w:tcPr>
          <w:p>
            <w:pPr>
              <w:pStyle w:val="TableText"/>
            </w:pPr>
          </w:p>
        </w:tc>
        <w:tc>
          <w:tcPr>
            <w:tcW w:w="2409" w:type="dxa"/>
          </w:tcPr>
          <w:p>
            <w:pPr>
              <w:pStyle w:val="TableText"/>
            </w:pPr>
          </w:p>
        </w:tc>
        <w:tc>
          <w:tcPr>
            <w:tcW w:w="2409" w:type="dxa"/>
          </w:tcPr>
          <w:p>
            <w:pPr>
              <w:pStyle w:val="TableText"/>
            </w:pPr>
          </w:p>
        </w:tc>
        <w:tc>
          <w:tcPr>
            <w:tcW w:w="2409" w:type="dxa"/>
          </w:tcPr>
          <w:p>
            <w:pPr>
              <w:pStyle w:val="TableText"/>
            </w:pPr>
          </w:p>
        </w:tc>
      </w:tr>
    </w:tbl>
    <w:p/>
    <w:sectPr>
      <w:footerReference w:type="default" r:id="rIdFooter"/>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pStyle w:val="Footer"/>
      <w:tabs>
        <w:tab w:val="right" w:pos="9638"/>
      </w:tabs>
    </w:pPr>
    <w:r>
      <w:t xml:space="preserve">Incident Response Procedure · </w:t>
    </w:r>
    <w:r>
      <w:rPr>
        <w:highlight w:val="yellow"/>
      </w:rPr>
      <w:t xml:space="preserve">[Company]</w:t>
    </w:r>
    <w:r>
      <w:t xml:space="preserve"> · Internal</w:t>
    </w:r>
    <w:r>
      <w:tab/>
    </w:r>
    <w:r>
      <w:t xml:space="preserve">Page </w:t>
    </w:r>
    <w:fldSimple w:instr=" PAGE ">
      <w:r>
        <w:t>1</w:t>
      </w:r>
    </w:fldSimple>
    <w:r>
      <w:t xml:space="preserve"> of </w:t>
    </w:r>
    <w:fldSimple w:instr=" NUMPAGES ">
      <w:r>
        <w:t>1</w:t>
      </w:r>
    </w:fldSimple>
  </w:p>
</w:ft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360" w:hanging="260"/>
      </w:pPr>
    </w:lvl>
  </w:abstractNum>
  <w:abstractNum w:abstractNumId="1">
    <w:multiLevelType w:val="singleLevel"/>
    <w:lvl w:ilvl="0">
      <w:start w:val="1"/>
      <w:numFmt w:val="decimal"/>
      <w:lvlText w:val="%1."/>
      <w:lvlJc w:val="left"/>
      <w:pPr>
        <w:ind w:left="360" w:hanging="300"/>
      </w:pPr>
    </w:lvl>
  </w:abstractNum>
  <w:num w:numId="1">
    <w:abstractNumId w:val="0"/>
  </w:num>
  <w:num w:numId="2">
    <w:abstractNumId w:val="1"/>
    <w:lvlOverride w:ilvl="0">
      <w:startOverride w:val="1"/>
    </w:lvlOverride>
  </w:num>
</w:numbering>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1"/>
        <w:szCs w:val="21"/>
        <w:lang w:val="en-GB"/>
      </w:rPr>
    </w:rPrDefault>
    <w:pPrDefault>
      <w:pPr>
        <w:spacing w:after="100" w:line="264" w:lineRule="auto"/>
      </w:pPr>
    </w:pPrDefault>
  </w:docDefaults>
  <w:style w:type="paragraph" w:default="1" w:styleId="Normal">
    <w:name w:val="Normal"/>
    <w:qFormat/>
  </w:style>
  <w:style w:type="paragraph" w:styleId="Title">
    <w:name w:val="Title"/>
    <w:basedOn w:val="Normal"/>
    <w:qFormat/>
    <w:pPr>
      <w:spacing w:after="60"/>
    </w:pPr>
    <w:rPr>
      <w:b/>
      <w:color w:val="1F3A8A"/>
      <w:sz w:val="40"/>
      <w:szCs w:val="40"/>
    </w:rPr>
  </w:style>
  <w:style w:type="paragraph" w:styleId="Subtitle">
    <w:name w:val="Subtitle"/>
    <w:basedOn w:val="Normal"/>
    <w:qFormat/>
    <w:pPr>
      <w:spacing w:after="200"/>
    </w:pPr>
    <w:rPr>
      <w:color w:val="667085"/>
      <w:sz w:val="20"/>
    </w:rPr>
  </w:style>
  <w:style w:type="paragraph" w:styleId="Heading1">
    <w:name w:val="heading 1"/>
    <w:basedOn w:val="Normal"/>
    <w:next w:val="Normal"/>
    <w:qFormat/>
    <w:pPr>
      <w:keepNext/>
      <w:spacing w:before="240" w:after="80"/>
      <w:outlineLvl w:val="0"/>
    </w:pPr>
    <w:rPr>
      <w:b/>
      <w:color w:val="1F3A8A"/>
      <w:sz w:val="26"/>
      <w:szCs w:val="26"/>
    </w:rPr>
  </w:style>
  <w:style w:type="paragraph" w:styleId="Heading2">
    <w:name w:val="heading 2"/>
    <w:basedOn w:val="Normal"/>
    <w:next w:val="Normal"/>
    <w:qFormat/>
    <w:pPr>
      <w:keepNext/>
      <w:spacing w:before="160" w:after="60"/>
      <w:outlineLvl w:val="1"/>
    </w:pPr>
    <w:rPr>
      <w:b/>
      <w:sz w:val="22"/>
    </w:rPr>
  </w:style>
  <w:style w:type="paragraph" w:styleId="ListParagraph">
    <w:name w:val="List Paragraph"/>
    <w:basedOn w:val="Normal"/>
    <w:pPr>
      <w:spacing w:after="60"/>
      <w:ind w:left="360"/>
    </w:pPr>
  </w:style>
  <w:style w:type="paragraph" w:styleId="Note">
    <w:name w:val="Note"/>
    <w:basedOn w:val="Normal"/>
    <w:pPr>
      <w:pBdr>
        <w:left w:val="single" w:sz="18" w:space="6" w:color="E0B400"/>
      </w:pBdr>
      <w:shd w:val="clear" w:color="auto" w:fill="FFF8DC"/>
      <w:spacing w:after="160"/>
      <w:ind w:left="120"/>
    </w:pPr>
    <w:rPr>
      <w:i/>
      <w:color w:val="5C4A00"/>
      <w:sz w:val="19"/>
    </w:rPr>
  </w:style>
  <w:style w:type="paragraph" w:styleId="TableText">
    <w:name w:val="Table Text"/>
    <w:basedOn w:val="Normal"/>
    <w:pPr>
      <w:spacing w:before="20" w:after="20" w:line="240" w:lineRule="auto"/>
    </w:pPr>
    <w:rPr>
      <w:sz w:val="19"/>
      <w:szCs w:val="19"/>
    </w:rPr>
  </w:style>
  <w:style w:type="paragraph" w:styleId="Footer">
    <w:name w:val="footer"/>
    <w:basedOn w:val="Normal"/>
    <w:rPr>
      <w:color w:val="667085"/>
      <w:sz w:val="16"/>
    </w:rPr>
  </w:style>
  <w:style w:type="table" w:styleId="Grid">
    <w:name w:val="Grid"/>
    <w:tblPr>
      <w:tblBorders>
        <w:top w:val="single" w:sz="4" w:color="C8CDD5"/>
        <w:left w:val="single" w:sz="4" w:color="C8CDD5"/>
        <w:bottom w:val="single" w:sz="4" w:color="C8CDD5"/>
        <w:right w:val="single" w:sz="4" w:color="C8CDD5"/>
        <w:insideH w:val="single" w:sz="4" w:color="C8CDD5"/>
        <w:insideV w:val="single" w:sz="4" w:color="C8CDD5"/>
      </w:tblBorders>
      <w:tblCellMar>
        <w:left w:w="80" w:type="dxa"/>
        <w:right w:w="80"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Incident Response Procedure</dc:title>
  <dc:creator>Z9 Monitor</dc:creator>
  <dcterms:created xsi:type="dcterms:W3CDTF">2026-10-05T15:17:43Z</dcterms:created>
  <dcterms:modified xsi:type="dcterms:W3CDTF">2026-10-05T15:17:43Z</dcterms:modified>
</cp:coreProperties>
</file>