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Backup and Restore Policy</w:t>
      </w:r>
    </w:p>
    <w:p>
      <w:pPr>
        <w:pStyle w:val="Subtitle"/>
      </w:pPr>
      <w:r>
        <w:rPr>
          <w:highlight w:val="yellow"/>
        </w:rPr>
        <w:t xml:space="preserve">[Company]</w:t>
      </w:r>
      <w:r>
        <w:t xml:space="preserve"> · ISO/IEC 27001:2022 Annex A A.8.13</w:t>
      </w:r>
    </w:p>
    <w:p>
      <w:pPr>
        <w:pStyle w:val="Note"/>
      </w:pPr>
      <w:r>
        <w:t xml:space="preserve">How to use this template: replace the yellow </w:t>
      </w:r>
      <w:r>
        <w:rPr>
          <w:highlight w:val="yellow"/>
        </w:rPr>
        <w:t xml:space="preserve">[fields]</w:t>
      </w:r>
      <w:r>
        <w:t xml:space="preserve">, delete what does not apply to you, have the document approved, and store it where staff can find it. In Z9 Monitor, open Compliance, press Confirm on the control and note where the approved document is kept.</w:t>
      </w:r>
    </w:p>
    <w:tbl>
      <w:tblPr>
        <w:tblStyle w:val="Grid"/>
        <w:tblW w:w="9638" w:type="dxa"/>
        <w:tblLayout w:type="fixed"/>
      </w:tblPr>
      <w:tblGrid>
        <w:gridCol w:w="1606"/>
        <w:gridCol w:w="1606"/>
        <w:gridCol w:w="1606"/>
        <w:gridCol w:w="1606"/>
        <w:gridCol w:w="1606"/>
        <w:gridCol w:w="1606"/>
      </w:tblGrid>
      <w:tr>
        <w:trPr>
          <w:tblHeader/>
        </w:trPr>
        <w:tc>
          <w:tcPr>
            <w:tcW w:w="1606" w:type="dxa"/>
            <w:shd w:val="clear" w:color="auto" w:fill="E8EEFB"/>
          </w:tcPr>
          <w:p>
            <w:pPr>
              <w:pStyle w:val="TableText"/>
            </w:pPr>
            <w:r>
              <w:rPr>
                <w:b/>
              </w:rPr>
              <w:t xml:space="preserve">Document owner</w:t>
            </w:r>
          </w:p>
        </w:tc>
        <w:tc>
          <w:tcPr>
            <w:tcW w:w="1606" w:type="dxa"/>
            <w:shd w:val="clear" w:color="auto" w:fill="E8EEFB"/>
          </w:tcPr>
          <w:p>
            <w:pPr>
              <w:pStyle w:val="TableText"/>
            </w:pPr>
            <w:r>
              <w:rPr>
                <w:b/>
              </w:rPr>
              <w:t xml:space="preserve">Approved by</w:t>
            </w:r>
          </w:p>
        </w:tc>
        <w:tc>
          <w:tcPr>
            <w:tcW w:w="1606" w:type="dxa"/>
            <w:shd w:val="clear" w:color="auto" w:fill="E8EEFB"/>
          </w:tcPr>
          <w:p>
            <w:pPr>
              <w:pStyle w:val="TableText"/>
            </w:pPr>
            <w:r>
              <w:rPr>
                <w:b/>
              </w:rPr>
              <w:t xml:space="preserve">Version</w:t>
            </w:r>
          </w:p>
        </w:tc>
        <w:tc>
          <w:tcPr>
            <w:tcW w:w="1606" w:type="dxa"/>
            <w:shd w:val="clear" w:color="auto" w:fill="E8EEFB"/>
          </w:tcPr>
          <w:p>
            <w:pPr>
              <w:pStyle w:val="TableText"/>
            </w:pPr>
            <w:r>
              <w:rPr>
                <w:b/>
              </w:rPr>
              <w:t xml:space="preserve">Effective date</w:t>
            </w:r>
          </w:p>
        </w:tc>
        <w:tc>
          <w:tcPr>
            <w:tcW w:w="1606" w:type="dxa"/>
            <w:shd w:val="clear" w:color="auto" w:fill="E8EEFB"/>
          </w:tcPr>
          <w:p>
            <w:pPr>
              <w:pStyle w:val="TableText"/>
            </w:pPr>
            <w:r>
              <w:rPr>
                <w:b/>
              </w:rPr>
              <w:t xml:space="preserve">Next review</w:t>
            </w:r>
          </w:p>
        </w:tc>
        <w:tc>
          <w:tcPr>
            <w:tcW w:w="1606" w:type="dxa"/>
            <w:shd w:val="clear" w:color="auto" w:fill="E8EEFB"/>
          </w:tcPr>
          <w:p>
            <w:pPr>
              <w:pStyle w:val="TableText"/>
            </w:pPr>
            <w:r>
              <w:rPr>
                <w:b/>
              </w:rPr>
              <w:t xml:space="preserve">Classification</w:t>
            </w:r>
          </w:p>
        </w:tc>
      </w:tr>
      <w:tr>
        <w:trPr>
          <w:cantSplit/>
        </w:trPr>
        <w:tc>
          <w:tcPr>
            <w:tcW w:w="1606" w:type="dxa"/>
          </w:tcPr>
          <w:p>
            <w:pPr>
              <w:pStyle w:val="TableText"/>
            </w:pPr>
            <w:r>
              <w:rPr>
                <w:highlight w:val="yellow"/>
              </w:rPr>
              <w:t xml:space="preserve">[Name, role]</w:t>
            </w:r>
          </w:p>
        </w:tc>
        <w:tc>
          <w:tcPr>
            <w:tcW w:w="1606" w:type="dxa"/>
          </w:tcPr>
          <w:p>
            <w:pPr>
              <w:pStyle w:val="TableText"/>
            </w:pPr>
            <w:r>
              <w:rPr>
                <w:highlight w:val="yellow"/>
              </w:rPr>
              <w:t xml:space="preserve">[Name, role]</w:t>
            </w:r>
          </w:p>
        </w:tc>
        <w:tc>
          <w:tcPr>
            <w:tcW w:w="1606" w:type="dxa"/>
          </w:tcPr>
          <w:p>
            <w:pPr>
              <w:pStyle w:val="TableText"/>
            </w:pPr>
            <w:r>
              <w:t xml:space="preserve">1.0</w:t>
            </w:r>
          </w:p>
        </w:tc>
        <w:tc>
          <w:tcPr>
            <w:tcW w:w="1606" w:type="dxa"/>
          </w:tcPr>
          <w:p>
            <w:pPr>
              <w:pStyle w:val="TableText"/>
            </w:pPr>
            <w:r>
              <w:rPr>
                <w:highlight w:val="yellow"/>
              </w:rPr>
              <w:t xml:space="preserve">[YYYY-MM-DD]</w:t>
            </w:r>
          </w:p>
        </w:tc>
        <w:tc>
          <w:tcPr>
            <w:tcW w:w="1606" w:type="dxa"/>
          </w:tcPr>
          <w:p>
            <w:pPr>
              <w:pStyle w:val="TableText"/>
            </w:pPr>
            <w:r>
              <w:rPr>
                <w:highlight w:val="yellow"/>
              </w:rPr>
              <w:t xml:space="preserve">[YYYY-MM-DD]</w:t>
            </w:r>
          </w:p>
        </w:tc>
        <w:tc>
          <w:tcPr>
            <w:tcW w:w="1606" w:type="dxa"/>
          </w:tcPr>
          <w:p>
            <w:pPr>
              <w:pStyle w:val="TableText"/>
            </w:pPr>
            <w:r>
              <w:t xml:space="preserve">Internal</w:t>
            </w:r>
          </w:p>
        </w:tc>
      </w:tr>
    </w:tbl>
    <w:p/>
    <w:p>
      <w:pPr>
        <w:pStyle w:val="Heading1"/>
      </w:pPr>
      <w:r>
        <w:t xml:space="preserve">1. Purpose</w:t>
      </w:r>
    </w:p>
    <w:p>
      <w:r>
        <w:t xml:space="preserve">Data and systems of </w:t>
      </w:r>
      <w:r>
        <w:rPr>
          <w:highlight w:val="yellow"/>
        </w:rPr>
        <w:t xml:space="preserve">[Company]</w:t>
      </w:r>
      <w:r>
        <w:t xml:space="preserve"> can be restored after deletion, corruption, ransomware or loss of hardware.</w:t>
      </w:r>
    </w:p>
    <w:p>
      <w:pPr>
        <w:pStyle w:val="Heading1"/>
      </w:pPr>
      <w:r>
        <w:t xml:space="preserve">2. What is backed up</w:t>
      </w:r>
    </w:p>
    <w:tbl>
      <w:tblPr>
        <w:tblStyle w:val="Grid"/>
        <w:tblW w:w="9638" w:type="dxa"/>
        <w:tblLayout w:type="fixed"/>
      </w:tblPr>
      <w:tblGrid>
        <w:gridCol w:w="1376"/>
        <w:gridCol w:w="1376"/>
        <w:gridCol w:w="1376"/>
        <w:gridCol w:w="1376"/>
        <w:gridCol w:w="1376"/>
        <w:gridCol w:w="1376"/>
        <w:gridCol w:w="1376"/>
      </w:tblGrid>
      <w:tr>
        <w:trPr>
          <w:tblHeader/>
        </w:trPr>
        <w:tc>
          <w:tcPr>
            <w:tcW w:w="1376" w:type="dxa"/>
            <w:shd w:val="clear" w:color="auto" w:fill="E8EEFB"/>
          </w:tcPr>
          <w:p>
            <w:pPr>
              <w:pStyle w:val="TableText"/>
            </w:pPr>
            <w:r>
              <w:rPr>
                <w:b/>
              </w:rPr>
              <w:t xml:space="preserve">System / data</w:t>
            </w:r>
          </w:p>
        </w:tc>
        <w:tc>
          <w:tcPr>
            <w:tcW w:w="1376" w:type="dxa"/>
            <w:shd w:val="clear" w:color="auto" w:fill="E8EEFB"/>
          </w:tcPr>
          <w:p>
            <w:pPr>
              <w:pStyle w:val="TableText"/>
            </w:pPr>
            <w:r>
              <w:rPr>
                <w:b/>
              </w:rPr>
              <w:t xml:space="preserve">Tool</w:t>
            </w:r>
          </w:p>
        </w:tc>
        <w:tc>
          <w:tcPr>
            <w:tcW w:w="1376" w:type="dxa"/>
            <w:shd w:val="clear" w:color="auto" w:fill="E8EEFB"/>
          </w:tcPr>
          <w:p>
            <w:pPr>
              <w:pStyle w:val="TableText"/>
            </w:pPr>
            <w:r>
              <w:rPr>
                <w:b/>
              </w:rPr>
              <w:t xml:space="preserve">How often</w:t>
            </w:r>
          </w:p>
        </w:tc>
        <w:tc>
          <w:tcPr>
            <w:tcW w:w="1376" w:type="dxa"/>
            <w:shd w:val="clear" w:color="auto" w:fill="E8EEFB"/>
          </w:tcPr>
          <w:p>
            <w:pPr>
              <w:pStyle w:val="TableText"/>
            </w:pPr>
            <w:r>
              <w:rPr>
                <w:b/>
              </w:rPr>
              <w:t xml:space="preserve">Kept for</w:t>
            </w:r>
          </w:p>
        </w:tc>
        <w:tc>
          <w:tcPr>
            <w:tcW w:w="1376" w:type="dxa"/>
            <w:shd w:val="clear" w:color="auto" w:fill="E8EEFB"/>
          </w:tcPr>
          <w:p>
            <w:pPr>
              <w:pStyle w:val="TableText"/>
            </w:pPr>
            <w:r>
              <w:rPr>
                <w:b/>
              </w:rPr>
              <w:t xml:space="preserve">Copies / off-site</w:t>
            </w:r>
          </w:p>
        </w:tc>
        <w:tc>
          <w:tcPr>
            <w:tcW w:w="1376" w:type="dxa"/>
            <w:shd w:val="clear" w:color="auto" w:fill="E8EEFB"/>
          </w:tcPr>
          <w:p>
            <w:pPr>
              <w:pStyle w:val="TableText"/>
            </w:pPr>
            <w:r>
              <w:rPr>
                <w:b/>
              </w:rPr>
              <w:t xml:space="preserve">Encrypted</w:t>
            </w:r>
          </w:p>
        </w:tc>
        <w:tc>
          <w:tcPr>
            <w:tcW w:w="1376" w:type="dxa"/>
            <w:shd w:val="clear" w:color="auto" w:fill="E8EEFB"/>
          </w:tcPr>
          <w:p>
            <w:pPr>
              <w:pStyle w:val="TableText"/>
            </w:pPr>
            <w:r>
              <w:rPr>
                <w:b/>
              </w:rPr>
              <w:t xml:space="preserve">Owner</w:t>
            </w:r>
          </w:p>
        </w:tc>
      </w:tr>
      <w:tr>
        <w:trPr>
          <w:cantSplit/>
        </w:trPr>
        <w:tc>
          <w:tcPr>
            <w:tcW w:w="1376" w:type="dxa"/>
          </w:tcPr>
          <w:p>
            <w:pPr>
              <w:pStyle w:val="TableText"/>
            </w:pPr>
            <w:r>
              <w:rPr>
                <w:highlight w:val="yellow"/>
              </w:rPr>
              <w:t xml:space="preserve">[All production VMs]</w:t>
            </w:r>
          </w:p>
        </w:tc>
        <w:tc>
          <w:tcPr>
            <w:tcW w:w="1376" w:type="dxa"/>
          </w:tcPr>
          <w:p>
            <w:pPr>
              <w:pStyle w:val="TableText"/>
            </w:pPr>
            <w:r>
              <w:rPr>
                <w:highlight w:val="yellow"/>
              </w:rPr>
              <w:t xml:space="preserve">[Veeam / Synology Active Backup]</w:t>
            </w:r>
          </w:p>
        </w:tc>
        <w:tc>
          <w:tcPr>
            <w:tcW w:w="1376" w:type="dxa"/>
          </w:tcPr>
          <w:p>
            <w:pPr>
              <w:pStyle w:val="TableText"/>
            </w:pPr>
            <w:r>
              <w:rPr>
                <w:highlight w:val="yellow"/>
              </w:rPr>
              <w:t xml:space="preserve">[Daily]</w:t>
            </w:r>
          </w:p>
        </w:tc>
        <w:tc>
          <w:tcPr>
            <w:tcW w:w="1376" w:type="dxa"/>
          </w:tcPr>
          <w:p>
            <w:pPr>
              <w:pStyle w:val="TableText"/>
            </w:pPr>
            <w:r>
              <w:rPr>
                <w:highlight w:val="yellow"/>
              </w:rPr>
              <w:t xml:space="preserve">[30 days + 12 monthly]</w:t>
            </w:r>
          </w:p>
        </w:tc>
        <w:tc>
          <w:tcPr>
            <w:tcW w:w="1376" w:type="dxa"/>
          </w:tcPr>
          <w:p>
            <w:pPr>
              <w:pStyle w:val="TableText"/>
            </w:pPr>
            <w:r>
              <w:rPr>
                <w:highlight w:val="yellow"/>
              </w:rPr>
              <w:t xml:space="preserve">[NAS + off-site / immutable copy]</w:t>
            </w:r>
          </w:p>
        </w:tc>
        <w:tc>
          <w:tcPr>
            <w:tcW w:w="1376" w:type="dxa"/>
          </w:tcPr>
          <w:p>
            <w:pPr>
              <w:pStyle w:val="TableText"/>
            </w:pPr>
            <w:r>
              <w:rPr>
                <w:highlight w:val="yellow"/>
              </w:rPr>
              <w:t xml:space="preserve">[Yes]</w:t>
            </w:r>
          </w:p>
        </w:tc>
        <w:tc>
          <w:tcPr>
            <w:tcW w:w="1376" w:type="dxa"/>
          </w:tcPr>
          <w:p>
            <w:pPr>
              <w:pStyle w:val="TableText"/>
            </w:pPr>
            <w:r>
              <w:rPr>
                <w:highlight w:val="yellow"/>
              </w:rPr>
              <w:t xml:space="preserve">[Name]</w:t>
            </w:r>
          </w:p>
        </w:tc>
      </w:tr>
      <w:tr>
        <w:trPr>
          <w:cantSplit/>
        </w:trPr>
        <w:tc>
          <w:tcPr>
            <w:tcW w:w="1376" w:type="dxa"/>
          </w:tcPr>
          <w:p>
            <w:pPr>
              <w:pStyle w:val="TableText"/>
            </w:pPr>
            <w:r>
              <w:rPr>
                <w:highlight w:val="yellow"/>
              </w:rPr>
              <w:t xml:space="preserve">[Microsoft 365]</w:t>
            </w:r>
          </w:p>
        </w:tc>
        <w:tc>
          <w:tcPr>
            <w:tcW w:w="1376" w:type="dxa"/>
          </w:tcPr>
          <w:p>
            <w:pPr>
              <w:pStyle w:val="TableText"/>
            </w:pPr>
            <w:r>
              <w:rPr>
                <w:highlight w:val="yellow"/>
              </w:rPr>
              <w:t xml:space="preserve">[tool]</w:t>
            </w:r>
          </w:p>
        </w:tc>
        <w:tc>
          <w:tcPr>
            <w:tcW w:w="1376" w:type="dxa"/>
          </w:tcPr>
          <w:p>
            <w:pPr>
              <w:pStyle w:val="TableText"/>
            </w:pPr>
            <w:r>
              <w:rPr>
                <w:highlight w:val="yellow"/>
              </w:rPr>
              <w:t xml:space="preserve">[Daily]</w:t>
            </w:r>
          </w:p>
        </w:tc>
        <w:tc>
          <w:tcPr>
            <w:tcW w:w="1376" w:type="dxa"/>
          </w:tcPr>
          <w:p>
            <w:pPr>
              <w:pStyle w:val="TableText"/>
            </w:pPr>
            <w:r>
              <w:rPr>
                <w:highlight w:val="yellow"/>
              </w:rPr>
              <w:t xml:space="preserve">[1 year]</w:t>
            </w:r>
          </w:p>
        </w:tc>
        <w:tc>
          <w:tcPr>
            <w:tcW w:w="1376" w:type="dxa"/>
          </w:tcPr>
          <w:p>
            <w:pPr>
              <w:pStyle w:val="TableText"/>
            </w:pPr>
            <w:r>
              <w:rPr>
                <w:highlight w:val="yellow"/>
              </w:rPr>
              <w:t xml:space="preserve">[cloud]</w:t>
            </w:r>
          </w:p>
        </w:tc>
        <w:tc>
          <w:tcPr>
            <w:tcW w:w="1376" w:type="dxa"/>
          </w:tcPr>
          <w:p>
            <w:pPr>
              <w:pStyle w:val="TableText"/>
            </w:pPr>
            <w:r>
              <w:rPr>
                <w:highlight w:val="yellow"/>
              </w:rPr>
              <w:t xml:space="preserve">[Yes]</w:t>
            </w:r>
          </w:p>
        </w:tc>
        <w:tc>
          <w:tcPr>
            <w:tcW w:w="1376" w:type="dxa"/>
          </w:tcPr>
          <w:p>
            <w:pPr>
              <w:pStyle w:val="TableText"/>
            </w:pPr>
            <w:r>
              <w:rPr>
                <w:highlight w:val="yellow"/>
              </w:rPr>
              <w:t xml:space="preserve">[Name]</w:t>
            </w:r>
          </w:p>
        </w:tc>
      </w:tr>
      <w:tr>
        <w:trPr>
          <w:cantSplit/>
        </w:trPr>
        <w:tc>
          <w:tcPr>
            <w:tcW w:w="1376" w:type="dxa"/>
          </w:tcPr>
          <w:p>
            <w:pPr>
              <w:pStyle w:val="TableText"/>
            </w:pPr>
          </w:p>
        </w:tc>
        <w:tc>
          <w:tcPr>
            <w:tcW w:w="1376" w:type="dxa"/>
          </w:tcPr>
          <w:p>
            <w:pPr>
              <w:pStyle w:val="TableText"/>
            </w:pPr>
          </w:p>
        </w:tc>
        <w:tc>
          <w:tcPr>
            <w:tcW w:w="1376" w:type="dxa"/>
          </w:tcPr>
          <w:p>
            <w:pPr>
              <w:pStyle w:val="TableText"/>
            </w:pPr>
          </w:p>
        </w:tc>
        <w:tc>
          <w:tcPr>
            <w:tcW w:w="1376" w:type="dxa"/>
          </w:tcPr>
          <w:p>
            <w:pPr>
              <w:pStyle w:val="TableText"/>
            </w:pPr>
          </w:p>
        </w:tc>
        <w:tc>
          <w:tcPr>
            <w:tcW w:w="1376" w:type="dxa"/>
          </w:tcPr>
          <w:p>
            <w:pPr>
              <w:pStyle w:val="TableText"/>
            </w:pPr>
          </w:p>
        </w:tc>
        <w:tc>
          <w:tcPr>
            <w:tcW w:w="1376" w:type="dxa"/>
          </w:tcPr>
          <w:p>
            <w:pPr>
              <w:pStyle w:val="TableText"/>
            </w:pPr>
          </w:p>
        </w:tc>
        <w:tc>
          <w:tcPr>
            <w:tcW w:w="1376" w:type="dxa"/>
          </w:tcPr>
          <w:p>
            <w:pPr>
              <w:pStyle w:val="TableText"/>
            </w:pPr>
          </w:p>
        </w:tc>
      </w:tr>
    </w:tbl>
    <w:p/>
    <w:p>
      <w:pPr>
        <w:pStyle w:val="Heading1"/>
      </w:pPr>
      <w:r>
        <w:t xml:space="preserve">3. Rules</w:t>
      </w:r>
    </w:p>
    <w:p>
      <w:pPr>
        <w:pStyle w:val="ListParagraph"/>
        <w:numPr>
          <w:ilvl w:val="0"/>
          <w:numId w:val="1"/>
        </w:numPr>
      </w:pPr>
      <w:r>
        <w:t xml:space="preserve">3-2-1: at least three copies on two kinds of media, one off-site or immutable / offline.</w:t>
      </w:r>
    </w:p>
    <w:p>
      <w:pPr>
        <w:pStyle w:val="ListParagraph"/>
        <w:numPr>
          <w:ilvl w:val="0"/>
          <w:numId w:val="1"/>
        </w:numPr>
      </w:pPr>
      <w:r>
        <w:t xml:space="preserve">Backup systems use separate admin accounts with multi-factor authentication; backup credentials are not domain admin accounts.</w:t>
      </w:r>
    </w:p>
    <w:p>
      <w:pPr>
        <w:pStyle w:val="ListParagraph"/>
        <w:numPr>
          <w:ilvl w:val="0"/>
          <w:numId w:val="1"/>
        </w:numPr>
      </w:pPr>
      <w:r>
        <w:t xml:space="preserve">Backups are encrypted; the encryption keys are kept in </w:t>
      </w:r>
      <w:r>
        <w:rPr>
          <w:highlight w:val="yellow"/>
        </w:rPr>
        <w:t xml:space="preserve">[vault]</w:t>
      </w:r>
      <w:r>
        <w:t xml:space="preserve"> and a copy is stored </w:t>
      </w:r>
      <w:r>
        <w:rPr>
          <w:highlight w:val="yellow"/>
        </w:rPr>
        <w:t xml:space="preserve">[off-site]</w:t>
      </w:r>
      <w:r>
        <w:t xml:space="preserve">.</w:t>
      </w:r>
    </w:p>
    <w:p>
      <w:pPr>
        <w:pStyle w:val="ListParagraph"/>
        <w:numPr>
          <w:ilvl w:val="0"/>
          <w:numId w:val="1"/>
        </w:numPr>
      </w:pPr>
      <w:r>
        <w:t xml:space="preserve">Servers that need no backup are recorded with the reason (in Z9 Monitor: backup exception).</w:t>
      </w:r>
    </w:p>
    <w:p>
      <w:pPr>
        <w:pStyle w:val="Heading1"/>
      </w:pPr>
      <w:r>
        <w:t xml:space="preserve">4. Monitoring</w:t>
      </w:r>
    </w:p>
    <w:p>
      <w:r>
        <w:t xml:space="preserve">Every day </w:t>
      </w:r>
      <w:r>
        <w:rPr>
          <w:highlight w:val="yellow"/>
        </w:rPr>
        <w:t xml:space="preserve">[IT]</w:t>
      </w:r>
      <w:r>
        <w:t xml:space="preserve"> checks failed jobs. Z9 Monitor lists every server without a recent restore point (older than </w:t>
      </w:r>
      <w:r>
        <w:rPr>
          <w:highlight w:val="yellow"/>
        </w:rPr>
        <w:t xml:space="preserve">[8]</w:t>
      </w:r>
      <w:r>
        <w:t xml:space="preserve"> days) and alerts on failed jobs; gaps are fixed within </w:t>
      </w:r>
      <w:r>
        <w:rPr>
          <w:highlight w:val="yellow"/>
        </w:rPr>
        <w:t xml:space="preserve">[2]</w:t>
      </w:r>
      <w:r>
        <w:t xml:space="preserve"> working days.</w:t>
      </w:r>
    </w:p>
    <w:p>
      <w:pPr>
        <w:pStyle w:val="Heading1"/>
      </w:pPr>
      <w:r>
        <w:t xml:space="preserve">5. Restore tests</w:t>
      </w:r>
    </w:p>
    <w:p>
      <w:r>
        <w:t xml:space="preserve">At least every </w:t>
      </w:r>
      <w:r>
        <w:rPr>
          <w:highlight w:val="yellow"/>
        </w:rPr>
        <w:t xml:space="preserve">[quarter]</w:t>
      </w:r>
      <w:r>
        <w:t xml:space="preserve"> a sample of files and one whole VM are restored, and at least once a year a critical service is restored end to end. Results are recorded in the restore and DR test record.</w:t>
      </w:r>
    </w:p>
    <w:tbl>
      <w:tblPr>
        <w:tblStyle w:val="Grid"/>
        <w:tblW w:w="9638" w:type="dxa"/>
        <w:tblLayout w:type="fixed"/>
      </w:tblPr>
      <w:tblGrid>
        <w:gridCol w:w="3212"/>
        <w:gridCol w:w="3212"/>
        <w:gridCol w:w="3212"/>
      </w:tblGrid>
      <w:tr>
        <w:trPr>
          <w:tblHeader/>
        </w:trPr>
        <w:tc>
          <w:tcPr>
            <w:tcW w:w="3212" w:type="dxa"/>
            <w:shd w:val="clear" w:color="auto" w:fill="E8EEFB"/>
          </w:tcPr>
          <w:p>
            <w:pPr>
              <w:pStyle w:val="TableText"/>
            </w:pPr>
            <w:r>
              <w:rPr>
                <w:b/>
              </w:rPr>
              <w:t xml:space="preserve">Approved by (name, title)</w:t>
            </w:r>
          </w:p>
        </w:tc>
        <w:tc>
          <w:tcPr>
            <w:tcW w:w="3212" w:type="dxa"/>
            <w:shd w:val="clear" w:color="auto" w:fill="E8EEFB"/>
          </w:tcPr>
          <w:p>
            <w:pPr>
              <w:pStyle w:val="TableText"/>
            </w:pPr>
            <w:r>
              <w:rPr>
                <w:b/>
              </w:rPr>
              <w:t xml:space="preserve">Signature</w:t>
            </w:r>
          </w:p>
        </w:tc>
        <w:tc>
          <w:tcPr>
            <w:tcW w:w="3212" w:type="dxa"/>
            <w:shd w:val="clear" w:color="auto" w:fill="E8EEFB"/>
          </w:tcPr>
          <w:p>
            <w:pPr>
              <w:pStyle w:val="TableText"/>
            </w:pPr>
            <w:r>
              <w:rPr>
                <w:b/>
              </w:rPr>
              <w:t xml:space="preserve">Date</w:t>
            </w:r>
          </w:p>
        </w:tc>
      </w:tr>
      <w:tr>
        <w:trPr>
          <w:cantSplit/>
        </w:trPr>
        <w:tc>
          <w:tcPr>
            <w:tcW w:w="3212" w:type="dxa"/>
          </w:tcPr>
          <w:p>
            <w:pPr>
              <w:pStyle w:val="TableText"/>
            </w:pPr>
            <w:r>
              <w:rPr>
                <w:highlight w:val="yellow"/>
              </w:rPr>
              <w:t xml:space="preserve">[Name, title]</w:t>
            </w:r>
          </w:p>
        </w:tc>
        <w:tc>
          <w:tcPr>
            <w:tcW w:w="3212" w:type="dxa"/>
          </w:tcPr>
          <w:p>
            <w:pPr>
              <w:pStyle w:val="TableText"/>
            </w:pPr>
          </w:p>
        </w:tc>
        <w:tc>
          <w:tcPr>
            <w:tcW w:w="3212" w:type="dxa"/>
          </w:tcPr>
          <w:p>
            <w:pPr>
              <w:pStyle w:val="TableText"/>
            </w:pPr>
          </w:p>
        </w:tc>
      </w:tr>
    </w:tbl>
    <w:p/>
    <w:p>
      <w:pPr>
        <w:pStyle w:val="Heading1"/>
      </w:pPr>
      <w:r>
        <w:t xml:space="preserve">Revision history</w:t>
      </w:r>
    </w:p>
    <w:tbl>
      <w:tblPr>
        <w:tblStyle w:val="Grid"/>
        <w:tblW w:w="9638" w:type="dxa"/>
        <w:tblLayout w:type="fixed"/>
      </w:tblPr>
      <w:tblGrid>
        <w:gridCol w:w="2409"/>
        <w:gridCol w:w="2409"/>
        <w:gridCol w:w="2409"/>
        <w:gridCol w:w="2409"/>
      </w:tblGrid>
      <w:tr>
        <w:trPr>
          <w:tblHeader/>
        </w:trPr>
        <w:tc>
          <w:tcPr>
            <w:tcW w:w="2409" w:type="dxa"/>
            <w:shd w:val="clear" w:color="auto" w:fill="E8EEFB"/>
          </w:tcPr>
          <w:p>
            <w:pPr>
              <w:pStyle w:val="TableText"/>
            </w:pPr>
            <w:r>
              <w:rPr>
                <w:b/>
              </w:rPr>
              <w:t xml:space="preserve">Version</w:t>
            </w:r>
          </w:p>
        </w:tc>
        <w:tc>
          <w:tcPr>
            <w:tcW w:w="2409" w:type="dxa"/>
            <w:shd w:val="clear" w:color="auto" w:fill="E8EEFB"/>
          </w:tcPr>
          <w:p>
            <w:pPr>
              <w:pStyle w:val="TableText"/>
            </w:pPr>
            <w:r>
              <w:rPr>
                <w:b/>
              </w:rPr>
              <w:t xml:space="preserve">Date</w:t>
            </w:r>
          </w:p>
        </w:tc>
        <w:tc>
          <w:tcPr>
            <w:tcW w:w="2409" w:type="dxa"/>
            <w:shd w:val="clear" w:color="auto" w:fill="E8EEFB"/>
          </w:tcPr>
          <w:p>
            <w:pPr>
              <w:pStyle w:val="TableText"/>
            </w:pPr>
            <w:r>
              <w:rPr>
                <w:b/>
              </w:rPr>
              <w:t xml:space="preserve">Author</w:t>
            </w:r>
          </w:p>
        </w:tc>
        <w:tc>
          <w:tcPr>
            <w:tcW w:w="2409" w:type="dxa"/>
            <w:shd w:val="clear" w:color="auto" w:fill="E8EEFB"/>
          </w:tcPr>
          <w:p>
            <w:pPr>
              <w:pStyle w:val="TableText"/>
            </w:pPr>
            <w:r>
              <w:rPr>
                <w:b/>
              </w:rPr>
              <w:t xml:space="preserve">Change</w:t>
            </w:r>
          </w:p>
        </w:tc>
      </w:tr>
      <w:tr>
        <w:trPr>
          <w:cantSplit/>
        </w:trPr>
        <w:tc>
          <w:tcPr>
            <w:tcW w:w="2409" w:type="dxa"/>
          </w:tcPr>
          <w:p>
            <w:pPr>
              <w:pStyle w:val="TableText"/>
            </w:pPr>
            <w:r>
              <w:t xml:space="preserve">1.0</w:t>
            </w:r>
          </w:p>
        </w:tc>
        <w:tc>
          <w:tcPr>
            <w:tcW w:w="2409" w:type="dxa"/>
          </w:tcPr>
          <w:p>
            <w:pPr>
              <w:pStyle w:val="TableText"/>
            </w:pPr>
            <w:r>
              <w:rPr>
                <w:highlight w:val="yellow"/>
              </w:rPr>
              <w:t xml:space="preserve">[YYYY-MM-DD]</w:t>
            </w:r>
          </w:p>
        </w:tc>
        <w:tc>
          <w:tcPr>
            <w:tcW w:w="2409" w:type="dxa"/>
          </w:tcPr>
          <w:p>
            <w:pPr>
              <w:pStyle w:val="TableText"/>
            </w:pPr>
            <w:r>
              <w:rPr>
                <w:highlight w:val="yellow"/>
              </w:rPr>
              <w:t xml:space="preserve">[Name]</w:t>
            </w:r>
          </w:p>
        </w:tc>
        <w:tc>
          <w:tcPr>
            <w:tcW w:w="2409" w:type="dxa"/>
          </w:tcPr>
          <w:p>
            <w:pPr>
              <w:pStyle w:val="TableText"/>
            </w:pPr>
            <w:r>
              <w:t xml:space="preserve">First version</w:t>
            </w:r>
          </w:p>
        </w:tc>
      </w:tr>
      <w:tr>
        <w:trPr>
          <w:cantSplit/>
        </w:trPr>
        <w:tc>
          <w:tcPr>
            <w:tcW w:w="2409" w:type="dxa"/>
          </w:tcPr>
          <w:p>
            <w:pPr>
              <w:pStyle w:val="TableText"/>
            </w:pPr>
          </w:p>
        </w:tc>
        <w:tc>
          <w:tcPr>
            <w:tcW w:w="2409" w:type="dxa"/>
          </w:tcPr>
          <w:p>
            <w:pPr>
              <w:pStyle w:val="TableText"/>
            </w:pPr>
          </w:p>
        </w:tc>
        <w:tc>
          <w:tcPr>
            <w:tcW w:w="2409" w:type="dxa"/>
          </w:tcPr>
          <w:p>
            <w:pPr>
              <w:pStyle w:val="TableText"/>
            </w:pPr>
          </w:p>
        </w:tc>
        <w:tc>
          <w:tcPr>
            <w:tcW w:w="2409" w:type="dxa"/>
          </w:tcPr>
          <w:p>
            <w:pPr>
              <w:pStyle w:val="TableText"/>
            </w:pPr>
          </w:p>
        </w:tc>
      </w:tr>
    </w:tbl>
    <w:p/>
    <w:sectPr>
      <w:footerReference w:type="default" r:id="rIdFooter"/>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w:p>
    <w:pPr>
      <w:pStyle w:val="Footer"/>
      <w:tabs>
        <w:tab w:val="right" w:pos="9638"/>
      </w:tabs>
    </w:pPr>
    <w:r>
      <w:t xml:space="preserve">Backup and Restore Policy · </w:t>
    </w:r>
    <w:r>
      <w:rPr>
        <w:highlight w:val="yellow"/>
      </w:rPr>
      <w:t xml:space="preserve">[Company]</w:t>
    </w:r>
    <w:r>
      <w:t xml:space="preserve"> · Internal</w:t>
    </w:r>
    <w:r>
      <w:tab/>
    </w:r>
    <w:r>
      <w:t xml:space="preserve">Page </w:t>
    </w:r>
    <w:fldSimple w:instr=" PAGE ">
      <w:r>
        <w:t>1</w:t>
      </w:r>
    </w:fldSimple>
    <w:r>
      <w:t xml:space="preserve"> of </w:t>
    </w:r>
    <w:fldSimple w:instr=" NUMPAGES ">
      <w:r>
        <w:t>1</w:t>
      </w:r>
    </w:fldSimple>
  </w:p>
</w:ftr>
</file>

<file path=word/numbering.xml><?xml version="1.0" encoding="utf-8"?>
<w:numbering xmlns:w="http://schemas.openxmlformats.org/wordprocessingml/2006/main" xmlns:r="http://schemas.openxmlformats.org/officeDocument/2006/relationships">
  <w:abstractNum w:abstractNumId="0">
    <w:multiLevelType w:val="singleLevel"/>
    <w:lvl w:ilvl="0">
      <w:start w:val="1"/>
      <w:numFmt w:val="bullet"/>
      <w:lvlText w:val="•"/>
      <w:lvlJc w:val="left"/>
      <w:pPr>
        <w:ind w:left="360" w:hanging="260"/>
      </w:pPr>
    </w:lvl>
  </w:abstractNum>
  <w:abstractNum w:abstractNumId="1">
    <w:multiLevelType w:val="singleLevel"/>
    <w:lvl w:ilvl="0">
      <w:start w:val="1"/>
      <w:numFmt w:val="decimal"/>
      <w:lvlText w:val="%1."/>
      <w:lvlJc w:val="left"/>
      <w:pPr>
        <w:ind w:left="360" w:hanging="300"/>
      </w:pPr>
    </w:lvl>
  </w:abstractNum>
  <w:num w:numId="1">
    <w:abstractNumId w:val="0"/>
  </w:num>
</w:numbering>
</file>

<file path=word/styles.xml><?xml version="1.0" encoding="utf-8"?>
<w:styles xmlns:w="http://schemas.openxmlformats.org/wordprocessingml/2006/main" xmlns:r="http://schemas.openxmlformats.org/officeDocument/2006/relationships">
  <w:docDefaults>
    <w:rPrDefault>
      <w:rPr>
        <w:rFonts w:ascii="Calibri" w:hAnsi="Calibri" w:eastAsia="Calibri" w:cs="Calibri"/>
        <w:sz w:val="21"/>
        <w:szCs w:val="21"/>
        <w:lang w:val="en-GB"/>
      </w:rPr>
    </w:rPrDefault>
    <w:pPrDefault>
      <w:pPr>
        <w:spacing w:after="100" w:line="264" w:lineRule="auto"/>
      </w:pPr>
    </w:pPrDefault>
  </w:docDefaults>
  <w:style w:type="paragraph" w:default="1" w:styleId="Normal">
    <w:name w:val="Normal"/>
    <w:qFormat/>
  </w:style>
  <w:style w:type="paragraph" w:styleId="Title">
    <w:name w:val="Title"/>
    <w:basedOn w:val="Normal"/>
    <w:qFormat/>
    <w:pPr>
      <w:spacing w:after="60"/>
    </w:pPr>
    <w:rPr>
      <w:b/>
      <w:color w:val="1F3A8A"/>
      <w:sz w:val="40"/>
      <w:szCs w:val="40"/>
    </w:rPr>
  </w:style>
  <w:style w:type="paragraph" w:styleId="Subtitle">
    <w:name w:val="Subtitle"/>
    <w:basedOn w:val="Normal"/>
    <w:qFormat/>
    <w:pPr>
      <w:spacing w:after="200"/>
    </w:pPr>
    <w:rPr>
      <w:color w:val="667085"/>
      <w:sz w:val="20"/>
    </w:rPr>
  </w:style>
  <w:style w:type="paragraph" w:styleId="Heading1">
    <w:name w:val="heading 1"/>
    <w:basedOn w:val="Normal"/>
    <w:next w:val="Normal"/>
    <w:qFormat/>
    <w:pPr>
      <w:keepNext/>
      <w:spacing w:before="240" w:after="80"/>
      <w:outlineLvl w:val="0"/>
    </w:pPr>
    <w:rPr>
      <w:b/>
      <w:color w:val="1F3A8A"/>
      <w:sz w:val="26"/>
      <w:szCs w:val="26"/>
    </w:rPr>
  </w:style>
  <w:style w:type="paragraph" w:styleId="Heading2">
    <w:name w:val="heading 2"/>
    <w:basedOn w:val="Normal"/>
    <w:next w:val="Normal"/>
    <w:qFormat/>
    <w:pPr>
      <w:keepNext/>
      <w:spacing w:before="160" w:after="60"/>
      <w:outlineLvl w:val="1"/>
    </w:pPr>
    <w:rPr>
      <w:b/>
      <w:sz w:val="22"/>
    </w:rPr>
  </w:style>
  <w:style w:type="paragraph" w:styleId="ListParagraph">
    <w:name w:val="List Paragraph"/>
    <w:basedOn w:val="Normal"/>
    <w:pPr>
      <w:spacing w:after="60"/>
      <w:ind w:left="360"/>
    </w:pPr>
  </w:style>
  <w:style w:type="paragraph" w:styleId="Note">
    <w:name w:val="Note"/>
    <w:basedOn w:val="Normal"/>
    <w:pPr>
      <w:pBdr>
        <w:left w:val="single" w:sz="18" w:space="6" w:color="E0B400"/>
      </w:pBdr>
      <w:shd w:val="clear" w:color="auto" w:fill="FFF8DC"/>
      <w:spacing w:after="160"/>
      <w:ind w:left="120"/>
    </w:pPr>
    <w:rPr>
      <w:i/>
      <w:color w:val="5C4A00"/>
      <w:sz w:val="19"/>
    </w:rPr>
  </w:style>
  <w:style w:type="paragraph" w:styleId="TableText">
    <w:name w:val="Table Text"/>
    <w:basedOn w:val="Normal"/>
    <w:pPr>
      <w:spacing w:before="20" w:after="20" w:line="240" w:lineRule="auto"/>
    </w:pPr>
    <w:rPr>
      <w:sz w:val="19"/>
      <w:szCs w:val="19"/>
    </w:rPr>
  </w:style>
  <w:style w:type="paragraph" w:styleId="Footer">
    <w:name w:val="footer"/>
    <w:basedOn w:val="Normal"/>
    <w:rPr>
      <w:color w:val="667085"/>
      <w:sz w:val="16"/>
    </w:rPr>
  </w:style>
  <w:style w:type="table" w:styleId="Grid">
    <w:name w:val="Grid"/>
    <w:tblPr>
      <w:tblBorders>
        <w:top w:val="single" w:sz="4" w:color="C8CDD5"/>
        <w:left w:val="single" w:sz="4" w:color="C8CDD5"/>
        <w:bottom w:val="single" w:sz="4" w:color="C8CDD5"/>
        <w:right w:val="single" w:sz="4" w:color="C8CDD5"/>
        <w:insideH w:val="single" w:sz="4" w:color="C8CDD5"/>
        <w:insideV w:val="single" w:sz="4" w:color="C8CDD5"/>
      </w:tblBorders>
      <w:tblCellMar>
        <w:left w:w="80" w:type="dxa"/>
        <w:right w:w="80" w:type="dxa"/>
      </w:tblCellMar>
    </w:tblPr>
  </w:style>
</w:styles>
</file>

<file path=word/_rels/document.xml.rels><?xml version="1.0" encoding="UTF-8" standalone="yes"?>
<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Footer"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Backup and Restore Policy</dc:title>
  <dc:creator>Z9 Monitor</dc:creator>
  <dcterms:created xsi:type="dcterms:W3CDTF">2026-10-05T15:17:43Z</dcterms:created>
  <dcterms:modified xsi:type="dcterms:W3CDTF">2026-10-05T15:17:43Z</dcterms:modified>
</cp:coreProperties>
</file>